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202400114959019124</w:t>
      </w:r>
    </w:p>
    <w:p>
      <w:r>
        <w:rPr>
          <w:b/>
        </w:rPr>
        <w:t xml:space="preserve">УФАС: </w:t>
      </w:r>
      <w:r>
        <w:t>УФАС по Санкт-Петербургу</w:t>
      </w:r>
    </w:p>
    <w:p>
      <w:r>
        <w:rPr>
          <w:b/>
        </w:rPr>
        <w:t xml:space="preserve">Дата решения: </w:t>
      </w:r>
      <w:r>
        <w:t>27.12.2024</w:t>
      </w:r>
    </w:p>
    <w:p>
      <w:r>
        <w:rPr>
          <w:b/>
        </w:rPr>
        <w:t xml:space="preserve">Исход: </w:t>
      </w:r>
      <w:r>
        <w:t>обоснована</w:t>
      </w:r>
    </w:p>
    <w:p>
      <w:r>
        <w:rPr>
          <w:b/>
        </w:rPr>
        <w:t xml:space="preserve">Закупка №: </w:t>
      </w:r>
      <w:r>
        <w:t>0372200094424000250</w:t>
      </w:r>
    </w:p>
    <w:p>
      <w:r>
        <w:rPr>
          <w:b/>
        </w:rPr>
        <w:t xml:space="preserve">Заказчик: </w:t>
      </w:r>
      <w:r>
        <w:t>Санкт-Петербургское государственное бюджетное учреждение здравоохранения «Психиатрическая больница № 1 им. П.П.Кащенко»</w:t>
      </w:r>
    </w:p>
    <w:p>
      <w:r>
        <w:rPr>
          <w:b/>
        </w:rPr>
        <w:t xml:space="preserve">Заявитель: </w:t>
      </w:r>
      <w:r>
        <w:t>ООО «РСК крепость»</w:t>
      </w:r>
    </w:p>
    <w:p>
      <w:r>
        <w:rPr>
          <w:b/>
        </w:rPr>
        <w:t xml:space="preserve">Первоисточник в ЕИС: </w:t>
      </w:r>
      <w:r>
        <w:t>https://zakupki.gov.ru/epz/complaint/card/complaint-information.html?complaintNumber=202400114959019124</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«Психиатрическая больница № 1 им. П.П.Кащенко»</w:t>
              <w:br/>
              <w:t>ул. Меньковская, д. 10,</w:t>
              <w:br/>
              <w:t>Ленинградская область, Никольское с., 188357</w:t>
              <w:br/>
              <w:t>эл. почта: mu-pogorelova@kaschenko-spb.ru</w:t>
              <w:br/>
              <w:t>АО «Агентство по государственному заказу РТ»</w:t>
              <w:br/>
              <w:t>ул. Московская, д. 55,</w:t>
              <w:br/>
              <w:t>Казань, 420021</w:t>
              <w:br/>
              <w:t>факс: (843) 292-95-87</w:t>
              <w:br/>
              <w:t>ООО «РСК Крепость»</w:t>
              <w:br/>
              <w:t>б-р Октябрьский, д. 50/30, лит. А, помещ. 7-Н,</w:t>
              <w:br/>
              <w:t>Санкт-Петербург, г. Пушкин, 196608</w:t>
              <w:br/>
              <w:t>эл. почта: rsk-krepost@mail.ru</w:t>
            </w:r>
          </w:p>
        </w:tc>
      </w:tr>
    </w:tbl>
    <w:p>
      <w:r>
        <w:t>РЕШЕНИЕ</w:t>
      </w:r>
    </w:p>
    <w:p>
      <w:r>
        <w:t>по делу № 44-4395/24 о нарушении законодательства о контрактной системе</w:t>
      </w:r>
    </w:p>
    <w:p>
      <w:r>
        <w:t>27.12.2024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31903/24 от 23.12.2024) на действия комиссии Заказчика по осуществлению закупок при определении исполнителя путем проведения открытого конкурса в электронной форме на выполнение работ по комплексному обеспечению функционирования имущества зданий, сооружений, их элементов, инженерных систем и оборудования в СПБ ГБУЗ «Больница им. П.П. Кащенко» в 2025 году, по адресу: Ленинградская область, Гатчинский район, с. Никольское, ул. Меньковская, д. 10 (извещение номер 0372200094424000250)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10.10.2024 в единой информационной системе, номер извещения 0372200094424000250. Начальная (максимальная) цена контракта 28 831 350,00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 неверном применении порядка оценки в отношении его заявки.</w:t>
      </w:r>
    </w:p>
    <w:p>
      <w:r>
        <w:t>Согласно представленным в порядке ч. 1 ст. 106 Закона о контрактной системе возражениям Заказчик с доводами жалобы согласен.</w:t>
      </w:r>
    </w:p>
    <w:p>
      <w:r>
        <w:t>Информация, изложенная в жалобе, пояснения представителей сторон, представленные документы подтверждают следующие обстоятельства:</w:t>
      </w:r>
    </w:p>
    <w:p>
      <w:r>
        <w:t>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tbl>
      <w:tblPr>
        <w:tblStyle w:val="TableGrid"/>
        <w:tblW w:type="auto" w:w="0"/>
        <w:tblLook w:firstColumn="1" w:firstRow="1" w:lastColumn="0" w:lastRow="0" w:noHBand="0" w:noVBand="1" w:val="04A0"/>
      </w:tblPr>
      <w:tblGrid>
        <w:gridCol w:w="4320"/>
        <w:gridCol w:w="4320"/>
      </w:tblGrid>
      <w:tr>
        <w:tc>
          <w:tcPr>
            <w:tcW w:type="dxa" w:w="4320"/>
          </w:tcPr>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выполнения работ; обеспечение необходимым количеством персонала; технология управления рисками;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 обеспечение надлежащей технологии выполнения работ.</w:t>
              <w:b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br/>
              <w:t>Под обеспечением надлежащей технологии выполнения работ (второе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выполнении работ по контракту, на право заключения которого проводится настоящий конкурс, мероприятия по обращению с отходами в соответствии с действующим законодательством РФ, мероприятия по охране окружающей среды в соответствии с действующим законодательством РФ.</w:t>
              <w:br/>
              <w:t>Под технологией управления рисками (четвертое свойство) понимаются комплекс правил, мероприятий по идентификации, оценке рисков, реагированию на риски, а также мониторингу и контролю их уровня, включающие в себя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идентифицированных рисков на общие показатели; информацию о целях контроля и о лицах, осуществляющих административный и технологический контроль.</w:t>
              <w:br/>
              <w:t>Под обеспечением необходимым количеством персонала (шестое свойство) понимается перечень специалистов (сотрудников), задействованных при выполнении работ по контракту, на право заключения которого проводится настоящий конкурс, с указанием по каждому такому специалисту (сотруднику) в отдельности: должности, опыта работы в соответствующей должности, профессиональных задач и обязанностей, должностной инструкции, и инструкции по взаимодействию с другими сотрудниками, планируемыми к привлечению при выполнении работ по контракту, на право заключения которого проводится настоящий конкурс.</w:t>
              <w:br/>
              <w:t>Под осуществлением своевременного контроля качества выполнения работ (третье свойство) понимаются методы, направленные на контроль качества результата выполненных работ, методы по внутреннему контролю за состоянием уровня безопасности на объекте; методы контроля за устранением недостатков при выполнении работ, указанных заказчиком, методы, направленные на контроль качества выполнения работ, и методы контроля за действиями непосредственных исполнителей (подрядчиков).</w:t>
              <w:br/>
              <w:t>Под оснащением квалифицированного персонала участника закупки надлежащим оборудованием, инструментами и иными необходимыми средствами (пятое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выполнении работ, с указанием по каждому такому оборудованию, инструменту и иному необходимому средству в отдельности: наименования, количества, марки, модели (при наличии),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выполнения соответствующих работ.</w:t>
              <w:br/>
              <w:t>Под обеспечением надлежащей технологии управления системой качества (первое свойство) понимается перечень сведений, содержащий в том числе следующую информацию: информацию об основных функциях управления системой качества;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 мерах личной безопасности сотрудников при возникновении чрезвычайных ситуаций; информацию о лицах, уполномоченных совершать проверку объектов.</w:t>
              <w:b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b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b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(данные слова и словосочетания должно быть заменены участником на другое слово/словосочетание, исключающее двоякое толкование представленной информации – например: «отсутствует»).</w:t>
              <w:b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работы будут выполнены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b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b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b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Протокол рассмотрения и оценки первых частей заявок на участие в открытом конкурсе в электронной форме от 16.12.2024 №ПРОI1 содержит следующую информацию в отношении заявки Заявителя:</w:t>
      </w:r>
    </w:p>
    <w:p>
      <w:r>
        <w:t>«По показателю оценки «характеристика N 1 (качество товаров (работ, услуг))», детализирующему показатель оценки «качественные характеристики объекта закупки» критерия оценки «Качественные, функциональные и экологические характеристики объекта закупки» участнику закупки не были начислены баллы по следующим основаниям:</w:t>
      </w:r>
    </w:p>
    <w:p>
      <w:r>
        <w:t>в соответствии с требованиями п. 2 раздела III Приложения № 4 к извещению об осуществлении закупки путем проведения открытого конкурса в электронной форме: «Оценка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 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выполнения работ; обеспечение необходимым количеством персонала; технология управления рисками;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 обеспечение надлежащей технологии выполнения работ.».</w:t>
      </w:r>
    </w:p>
    <w:p>
      <w:r>
        <w:t>В соответствии с требованиями п. 2.2 раздела 1.1 Приложения № 3 к извещению об электронном конкурсе: При формировании описания свойств объекта закупки участник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по каждому виду выполняемых работ, в том числе: Работы, выполняемые по обслуживанию кровель; Работы по текущему ремонту крыши.</w:t>
      </w:r>
    </w:p>
    <w:p>
      <w:r>
        <w:t>Участником закупки в составе первой части заявки предоставлена заполненная форма «Предложение о качественных характеристиках объекта закупки», содержащая описание свойств объекта закупки.</w:t>
      </w:r>
    </w:p>
    <w:p>
      <w:r>
        <w:t>Вместе с тем, у участника закупки в предоставленном предложении отсутствует описание свойств объекта закупки по видам выполняемых работ: Работы, выполняемые по обслуживанию кровель; Работы по текущему ремонту крыши.</w:t>
      </w:r>
    </w:p>
    <w:p>
      <w:r>
        <w:t>В соответствии с требованиями п. 2 раздела III Приложения № 4 к извещению об осуществлении закупки путем проведения открытого конкурса в электронной форме: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 2 настоящей статьи предложение по критериям, предусмотренным п.п.2 и (или) 3 ч. 1 ст. 32 настоящего Федерального закона (в случае проведения конкурсов и установления таких критериев).</w:t>
      </w:r>
    </w:p>
    <w:p>
      <w:r>
        <w:t>Из анализа заявки Заявителя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 участника закупки в предоставленном предложении отсутствует описание свойств объекта закупки по видам выполняемых работ «Работы, выполняемые по обслуживанию кровель; Работы по текущему ремонту крыши».</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не соответствует требованиям извещения.</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Признать жалобу ООО «РСК Крепость» обоснованной.</w:t>
      </w:r>
    </w:p>
    <w:p>
      <w:r>
        <w:t>Настоящее решение может быть обжаловано в судебном порядке в течение трёх месяцев со дня принятия.</w:t>
      </w:r>
    </w:p>
    <w:p>
      <w:r>
        <w:t>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