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202500100161006941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17.03.2025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0373100048525000011</w:t>
      </w:r>
    </w:p>
    <w:p>
      <w:r>
        <w:rPr>
          <w:b/>
        </w:rPr>
        <w:t xml:space="preserve">Заказчик: </w:t>
      </w:r>
      <w:r>
        <w:t>Центральное экспертно-криминалистическое таможенное управление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https://zakupki.gov.ru/epz/complaint/card/complaint-information.html?complaintNumber=202500100161006941</w:t>
      </w:r>
    </w:p>
    <w:p/>
    <w:p>
      <w:pPr>
        <w:pStyle w:val="Heading1"/>
      </w:pPr>
      <w:r>
        <w:t>Решение</w:t>
      </w:r>
    </w:p>
    <w:p>
      <w:r>
        <w:t>ЦЭКТУ</w:t>
        <w:br/>
        <w:t>cektu@ca.customs.gov.ru</w:t>
        <w:br/>
        <w:t>ООО «ТД «Политон-тех»</w:t>
        <w:br/>
        <w:t>politon_td@mail.ru</w:t>
        <w:br/>
        <w:t>АО «Сбербанк-АСТ»</w:t>
        <w:br/>
        <w:t>info@sberbank-ast.ru</w:t>
        <w:br/>
        <w:t>РЕШЕНИЕ</w:t>
        <w:br/>
        <w:t>по делу №077/06/106-3452/2025 о нарушении</w:t>
        <w:br/>
        <w:t>законодательства о контрактной системе</w:t>
        <w:br/>
        <w:t>18.03.2025 г.Москва</w:t>
        <w:br/>
        <w:t>Комиссия Управления Федеральной антимонопольной службы по</w:t>
        <w:br/>
        <w:t>г. Москве по контролю в сфере закупок (далее – Комиссия 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 .А. Кутейникова ,</w:t>
        <w:br/>
        <w:t>Члены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 ООО «ТД «Политон-тех»: Шлычковой А.И.</w:t>
        <w:br/>
        <w:t>(дов.№1 от 14.03.2025), ЦЭКТУ: Ситникова А.В. (дов.№12-19/11 от 07.03.2025),</w:t>
        <w:br/>
        <w:t>рассмотрев жалобу ООО «ТД «Политон-тех» (далее — Заявитель) на действия</w:t>
        <w:br/>
        <w:t>ЦЭКТУ (далее — Заказчик) при проведении электронного аукциона на право</w:t>
        <w:br/>
        <w:t>заключения государственного контракта на поставку расходных материалов для</w:t>
        <w:br/>
        <w:t>ИКТ#оборудования (централизованная) (Закупка №0373100048525000011)</w:t>
        <w:br/>
        <w:t>(далее – аукцион),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2025-12268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 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составе жалобы Заявитель указывает, что по части товарных позиций</w:t>
        <w:br/>
        <w:t>Заказчиком в составе извещения неправомерно установлено требование о поставке</w:t>
        <w:br/>
        <w:t>исключительно оригинальных товаров, без возможности поставки эквивалентной</w:t>
        <w:br/>
        <w:t>продукции.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 в извещении Заказчиком</w:t>
        <w:br/>
        <w:t>2025-12268</w:t>
        <w:br/>
        <w:t>3</w:t>
        <w:br/>
        <w:t>установлены требования к закупаемым товарам, например по следующим</w:t>
        <w:br/>
        <w:t>позициям:</w:t>
        <w:br/>
        <w:t>-товарная позиция с идентификатором 175320106 «Картридж</w:t>
        <w:br/>
        <w:t>оригинальный Hewlett-Packard 651A »: «Товарный знак: Hewlett-Packard»,</w:t>
        <w:br/>
        <w:t>«Совместимость c оборудованием: Hewlett-Packard Color LaserJet 700/775»,</w:t>
        <w:br/>
        <w:t>«Артикул: CE341A»;</w:t>
        <w:br/>
        <w:t>-товарная позиция с идентификатором 175320143 «Картридж</w:t>
        <w:br/>
        <w:t>оригинальный PANTUM CTL-1100CM »: «Товарный знак: PANTUM»,</w:t>
        <w:br/>
        <w:t>«Совместимость c оборудованием: Pantum CP1100DN», «Артикул: CTL-1100CM»;</w:t>
        <w:br/>
        <w:t>-товарная позиция с идентификатором 175320148 «Картридж</w:t>
        <w:br/>
        <w:t>оригинальный PANTUM TL-5120X »: «Товарный знак: PANTUM», «Совместимость</w:t>
        <w:br/>
        <w:t>c оборудованием: Pantum BM5100ADW», «Артикул: TL-5120X».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</w:r>
    </w:p>
    <w:p>
      <w:r>
        <w:t>рамках обжалуемой закупки Заказчиком закупаются расходные материалы к</w:t>
        <w:br/>
        <w:t>печатающему оборудования различных производителей, например компаний</w:t>
        <w:br/>
        <w:t>«Pantum», «Hewlett-Packard», находящимся у Заказчика, при этом инструкциями по</w:t>
        <w:br/>
        <w:t>эксплуатации таких устройств указано, что в случае поломки оборудования, в</w:t>
        <w:br/>
        <w:t>следствии использования картриджей сторонних производителей, гарантийное</w:t>
        <w:br/>
        <w:t>обслуживание оборудования не осуществляется.</w:t>
        <w:br/>
        <w:t>Также представитель Заказчика также отметил, что оригинальные расходные</w:t>
        <w:br/>
        <w:t>материалы закупаются Заказчиком для оборудования, поставленного в рамках иных</w:t>
        <w:br/>
        <w:t>контрактов и наход ящегося на гарантии поставщика оборудования, ввиду чего, для</w:t>
        <w:br/>
        <w:t>исполнения гарантийных обязательств Заказчику необходимо использовать</w:t>
        <w:br/>
        <w:t>исключительно оригинальные расходные материалы.</w:t>
        <w:br/>
        <w:t>В обоснование своей позиции представитель Заказчика представил</w:t>
        <w:br/>
        <w:t>следующие документы:</w:t>
        <w:br/>
        <w:t>-гарантийные талоны на оборудование «Pantum CP1100DN» от</w:t>
        <w:br/>
        <w:t>01.04.2024;</w:t>
        <w:br/>
        <w:t>-информационные письмо производителя оборудования с товарным</w:t>
        <w:br/>
        <w:t>знаком «Pantum»;</w:t>
        <w:br/>
        <w:t>-сведения о государственном контракте с реестровым номером</w:t>
        <w:br/>
        <w:t>1770819786123000123, в рамках которого заказчиком закупалось оборудование</w:t>
        <w:br/>
        <w:t>«Pantum CP1100DN»;</w:t>
        <w:br/>
        <w:t>-руководства по эксплуатации (техническая документация)</w:t>
        <w:br/>
        <w:t>оборудования с товарным знаком «Pantum», «Hewlett-Packard» ;</w:t>
        <w:br/>
        <w:t>-информацию о возможности ознакомления с условиями гарантии на</w:t>
        <w:br/>
        <w:t>веб-сайте производителя оборудования «Hewlett-Packard».</w:t>
        <w:br/>
        <w:t>Вместе с этим Комиссия Управления отмечает, что на заседании Комиссии</w:t>
        <w:br/>
        <w:t>Управления представителем Заказчика не представлено документов и сведений,</w:t>
        <w:br/>
        <w:t>2025-12268</w:t>
        <w:br/>
        <w:t>4</w:t>
        <w:br/>
        <w:t>указывающих на наличие у Заказчика оборудования «Pantum BM5100ADW», а</w:t>
        <w:br/>
        <w:t>также оборудования с торговым знаком «Hewlett-Packard», находящемся на</w:t>
        <w:br/>
        <w:t>гарантийном обслуживании.</w:t>
        <w:br/>
        <w:t>Также Комиссия Управления отмечает, что в представленных документах на</w:t>
        <w:br/>
        <w:t>оборудование «Pantum CP1100DN» , а также на оборудование с товарным знаком</w:t>
        <w:br/>
        <w:t>«Hewlett-Packard», отсутствует указание на невозможность применения</w:t>
        <w:br/>
        <w:t>совместимых расходных материалов, указаны лишь рекомендации по</w:t>
        <w:br/>
        <w:t>использованию оригинальных расходных материалов и отсутствие информации у</w:t>
        <w:br/>
        <w:t>производителя и поставщиков оборудования о совместимости оборудования с</w:t>
        <w:br/>
        <w:t>расходными материалами иных производителей.</w:t>
        <w:br/>
        <w:t>Комиссия Управления отмечает, что, в соответствии с пп.«в» п.1 ч.1 ст.33</w:t>
        <w:br/>
        <w:t>Закона о контрактной системе, допускается использование в описании объекта</w:t>
        <w:br/>
        <w:t>закупки указания на товарный знак в случае осуществления закупки запасных</w:t>
        <w:br/>
        <w:t>частей и расходных материалов к машинам и оборудованию, используемым</w:t>
        <w:br/>
        <w:t>заказчиком, в соответствии с технической документацией на указанные</w:t>
      </w:r>
    </w:p>
    <w:p>
      <w:r>
        <w:t>машины и оборудование , однако, как установлено Комиссией Управления, в</w:t>
        <w:br/>
        <w:t>представленной технической документации на оборудование «Pantum CP1100DN» ,</w:t>
        <w:br/>
        <w:t>а также на оборудование с товарным знаком «Hewlett-Packard», отсутствует</w:t>
        <w:br/>
        <w:t>указание на несовместимость картриджей иных производителей с оборудованием,</w:t>
        <w:br/>
        <w:t>эксплуатируемым Заказчиком, при этом Комиссия Управления отмечает, что</w:t>
        <w:br/>
        <w:t>рекомендация производителя в использовании оригинальных расходных</w:t>
        <w:br/>
        <w:t>материалов не свидетельствует о невозможности использования совместимых</w:t>
        <w:br/>
        <w:t>расходных материалов (картриджей).</w:t>
        <w:br/>
        <w:t>При этом информационные письма производителя товара, представителя</w:t>
        <w:br/>
        <w:t>производителя товара не являются технической документацией на оборудование.</w:t>
        <w:br/>
        <w:t>В отношении оборудования «Pantum CP1100DN», с товарным знаком</w:t>
        <w:br/>
        <w:t>«Pantum», Комиссия Управления отмечает, что в представленном представителем</w:t>
        <w:br/>
        <w:t>Заказчика контракте с реестровом номером 1770819786123000123 определено</w:t>
        <w:br/>
        <w:t>условие, что поставщиком предоставляется гарантия качества оборудования на</w:t>
        <w:br/>
        <w:t>срок 12 (Двенадцать) месяцев с момента передачи его Заказчику, при этом, исходя</w:t>
        <w:br/>
        <w:t>из представленных гарантийных талонов оборудования «Pantum CP1100DN»,</w:t>
        <w:br/>
        <w:t>передача оборудования осуществлена Заказчику 01.04.2024, в связи с чем</w:t>
        <w:br/>
        <w:t>гарантийное обслуживание такого оборудования осуществляется до 01.04.2025,</w:t>
        <w:br/>
        <w:t>однако в представленном государственном контракте отсутствуют условия,</w:t>
        <w:br/>
        <w:t>указывающие на необходимость применения исключительно оригинальных</w:t>
        <w:br/>
        <w:t>расходных материалов для сохранения гарантийных обязательств поставщика,</w:t>
        <w:br/>
        <w:t>также Комиссия Управления отмечает, что в технической документации «Pantum</w:t>
        <w:br/>
        <w:t>CP1100DN» не содержится указания на необходимость применения исключительно</w:t>
        <w:br/>
        <w:t>оригинальных расходных материалов для сохранения гарантийных обязательств</w:t>
        <w:br/>
        <w:t>производителя оборудования.</w:t>
        <w:br/>
        <w:t>На основании вышеизложенного Комиссия Управления приходит к выводу,</w:t>
        <w:br/>
        <w:t>что в описании объекта закупки Заказчиком неправомерно указано на</w:t>
        <w:br/>
        <w:t>необходимость поставки исключительно оригинальных товаров, в включая</w:t>
        <w:br/>
        <w:t>2025-12268</w:t>
        <w:br/>
        <w:t>5</w:t>
        <w:br/>
        <w:t>указания на товарных знак и конкретный артикул картриджа, в случае если такой</w:t>
        <w:br/>
        <w:t>артикул является уникальным для товара.</w:t>
        <w:br/>
        <w:t>Иного на заседании Комиссии Управления не выявлено.</w:t>
        <w:br/>
        <w:t>Кроме того, Комиссией Управления установлено, что помимо обжалуемых</w:t>
        <w:br/>
        <w:t>позиций в рамках данной конкурентной процедуры также закупаются иные товары,</w:t>
        <w:br/>
        <w:t>характеристики которых не оспариваются, ввиду чего презюмируется, что по</w:t>
        <w:br/>
        <w:t>данным позициям описания объекта закупки к поставке возможны товары</w:t>
        <w:br/>
        <w:t>нескольких производителей.</w:t>
        <w:br/>
        <w:t>Комиссия Управления отмечает, что если у Заказчика имеются определенные</w:t>
      </w:r>
    </w:p>
    <w:p>
      <w:r>
        <w:t>обоснованные потребности в получении тех или иных товаров, он вправе</w:t>
        <w:br/>
        <w:t>устанавливать соответствующие требования к товарам, но таким образом, чтобы</w:t>
        <w:br/>
        <w:t>такие требования не ограничивали количество участников закупки, и в составе</w:t>
        <w:br/>
        <w:t>одного лота не закупались наряду с товарами, производимыми неограниченным</w:t>
        <w:br/>
        <w:t>кругом производителей уникальные товары единственного производителя,</w:t>
        <w:br/>
        <w:t>отсутствующие в свободном доступе, в том числе для приобретения которых</w:t>
        <w:br/>
        <w:t>необходимо заключать определенные договоры и соглашения с производителем</w:t>
        <w:br/>
        <w:t>оборудования.</w:t>
        <w:br/>
        <w:t>Комиссия Управления также отмечает, что в случае, если при закупке товаров</w:t>
        <w:br/>
        <w:t>среди требуемых к поставке позиций присутствует хотя бы один товар, требования</w:t>
        <w:br/>
        <w:t>к характеристикам которого установлены таким образом, что совокупности таких</w:t>
        <w:br/>
        <w:t>требований отвечает только товар единственного производителя, то положения</w:t>
        <w:br/>
        <w:t>извещения о такой закупке имеют признаки ограничения количества участников</w:t>
        <w:br/>
        <w:t>закупки, так как закупить и поставить уникальный товар имеет возможность только</w:t>
        <w:br/>
        <w:t>ограниченный круг лиц, имеющий с производителем такого товара партнерские</w:t>
        <w:br/>
        <w:t>отношения и/или иные договоры о сотрудничестве.</w:t>
        <w:br/>
        <w:t>На основании вышеизложенного, в случае невозможности участников</w:t>
        <w:br/>
        <w:t>закупки закупить и поставить требуемые Заказчику уникальные позиции наряду с</w:t>
        <w:br/>
        <w:t>иными товарами, указанная закупка будет проведена только для тех лиц, имеющих</w:t>
        <w:br/>
        <w:t>договорные отношения с определенным производителем товара, что</w:t>
        <w:br/>
        <w:t>непосредственно является ограничением круга потенциальных участников закупки,</w:t>
        <w:br/>
        <w:t>что напрямую запрещается нормами ст.33 Закона о контрактной системе.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Управления,</w:t>
        <w:br/>
        <w:t>2025-12268</w:t>
        <w:br/>
        <w:t>6</w:t>
        <w:br/>
        <w:t>Р Е Ш И Л А:</w:t>
        <w:br/>
        <w:t>1.Признать жалоб у ООО «ТД «Политон-тех» на действия ЦЭКТУ</w:t>
        <w:br/>
        <w:t>обоснованной.</w:t>
        <w:br/>
        <w:t>2.Признать в действиях Заказчика нарушения п.1 ч.1 ст.33 Закона о</w:t>
        <w:br/>
        <w:t>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</w:r>
    </w:p>
    <w:p>
      <w:r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А.А. Кутейников</w:t>
        <w:br/>
        <w:t>Члены Комиссии:</w:t>
        <w:br/>
        <w:t>А.А. Матюшенко</w:t>
        <w:br/>
        <w:t>Э.З. Гугава</w:t>
        <w:br/>
        <w:t>Исп. Матюшенко А.А., 8(495) 784-75-05</w:t>
        <w:br/>
        <w:t>2025-12268</w:t>
      </w:r>
    </w:p>
    <w:p>
      <w:pPr>
        <w:pStyle w:val="Heading1"/>
      </w:pPr>
      <w:r>
        <w:t>Предписание</w:t>
      </w:r>
    </w:p>
    <w:p>
      <w:r>
        <w:t>ЦЭКТУ</w:t>
        <w:br/>
        <w:t>cektu@ca.customs.gov.ru</w:t>
        <w:br/>
        <w:t>ООО «ТД «Политон-тех»</w:t>
        <w:br/>
        <w:t>politon_td@mail.ru</w:t>
        <w:br/>
        <w:t>АО «Сбербанк-АСТ»</w:t>
        <w:br/>
        <w:t>info@sberbank-ast.ru</w:t>
        <w:br/>
        <w:t>ПРЕДПИСАНИЕ</w:t>
        <w:br/>
        <w:t>по делу № 077/06/106-3452/2025 об устранении нарушений</w:t>
        <w:br/>
        <w:t>законодательства о контрактной системе</w:t>
        <w:br/>
        <w:t>18.03.2025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 .А. Кутейникова ,</w:t>
        <w:br/>
        <w:t>Члены Комиссии:</w:t>
        <w:br/>
        <w:t>Ведущего специалиста-эксперта отдела обжалования государственных закупок</w:t>
        <w:br/>
        <w:t>Э.З. Гугава,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Управления от 18.03.2025 по делу</w:t>
        <w:br/>
        <w:t>№077/06/106-3452/2025 , по итогам рассмотрения жалобы ООО «ТД «Политон-тех»</w:t>
        <w:br/>
        <w:t>(далее — Заявитель) на действия ЦЭКТУ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расходных материалов для ИКТ-оборудования (централизованная)</w:t>
        <w:br/>
        <w:t>(Закупка №0373100048525000011) (далее —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2025-12325</w:t>
        <w:br/>
        <w:t>2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18.03.2025 по</w:t>
        <w:br/>
        <w:t>делу №077/06/106-3452/2025 и разместить соответствующее извещение в единой</w:t>
      </w:r>
    </w:p>
    <w:p>
      <w:r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18.03.2025 по делу №077/06/106-3452/2025.</w:t>
        <w:br/>
        <w:t>6. Заказчику, к омиссии по осуществлению закупок Заказчика в срок до</w:t>
        <w:br/>
        <w:t>18.04.2025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2025-12325</w:t>
        <w:br/>
        <w:t>3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</w:r>
    </w:p>
    <w:p>
      <w:r>
        <w:t>Настоящее предписание от 18.03.2025 по делу №077/06/106-3452/2025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Председательствующий: А.А. Кутейников</w:t>
        <w:br/>
        <w:t>Члены Комиссии:</w:t>
        <w:br/>
        <w:t>А.А. Матюшенко</w:t>
        <w:br/>
        <w:t>Э.З. Гугава</w:t>
        <w:br/>
        <w:t>Исп. Матюшенко А.А., 8(495) 784-75-05</w:t>
        <w:br/>
        <w:t>2025-12325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