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202500100161008198</w:t>
      </w:r>
    </w:p>
    <w:p>
      <w:r>
        <w:rPr>
          <w:b/>
        </w:rPr>
        <w:t xml:space="preserve">УФАС: </w:t>
      </w:r>
      <w:r>
        <w:t>ФАС России</w:t>
      </w:r>
    </w:p>
    <w:p>
      <w:r>
        <w:rPr>
          <w:b/>
        </w:rPr>
        <w:t xml:space="preserve">Дата решения: </w:t>
      </w:r>
      <w:r>
        <w:t>18.04.2025</w:t>
      </w:r>
    </w:p>
    <w:p>
      <w:r>
        <w:rPr>
          <w:b/>
        </w:rPr>
        <w:t xml:space="preserve">Исход: </w:t>
      </w:r>
      <w:r>
        <w:t>обоснована</w:t>
      </w:r>
    </w:p>
    <w:p>
      <w:r>
        <w:rPr>
          <w:b/>
        </w:rPr>
        <w:t xml:space="preserve">Закупка №: </w:t>
      </w:r>
      <w:r>
        <w:t>0173100004725000007</w:t>
      </w:r>
    </w:p>
    <w:p>
      <w:r>
        <w:rPr>
          <w:b/>
        </w:rPr>
        <w:t xml:space="preserve">Заказчик: </w:t>
      </w:r>
      <w:r>
        <w:t>Судебный департамент при верховном суде Российской Федерации</w:t>
      </w:r>
    </w:p>
    <w:p>
      <w:r>
        <w:rPr>
          <w:b/>
        </w:rPr>
        <w:t xml:space="preserve">Заявитель: </w:t>
      </w:r>
      <w:r>
        <w:t>ООО «Современные технологии»</w:t>
      </w:r>
    </w:p>
    <w:p>
      <w:r>
        <w:rPr>
          <w:b/>
        </w:rPr>
        <w:t xml:space="preserve">Первоисточник в ЕИС: </w:t>
      </w:r>
      <w:r>
        <w:t>https://zakupki.gov.ru/epz/complaint/card/complaint-information.html?complaintNumber=202500100161008198</w:t>
      </w:r>
    </w:p>
    <w:p/>
    <w:p>
      <w:pPr>
        <w:pStyle w:val="Heading1"/>
      </w:pPr>
      <w:r>
        <w:t>Решение</w:t>
      </w:r>
    </w:p>
    <w:p>
      <w:pPr>
        <w:pStyle w:val="Heading2"/>
      </w:pPr>
      <w:r>
        <w:t>вводная часть</w:t>
      </w:r>
    </w:p>
    <w:p>
      <w:r>
        <w:t>РЕШЕНИЕ</w:t>
      </w:r>
    </w:p>
    <w:p>
      <w:r>
        <w:t>по делу № 28/06/105-2500/2025 о нарушении</w:t>
      </w:r>
    </w:p>
    <w:p>
      <w:r>
        <w:t>законодательства Российской Федерации</w:t>
      </w:r>
    </w:p>
    <w:p>
      <w:r>
        <w:t>о контрактной системе в сфере закупок</w:t>
      </w:r>
    </w:p>
    <w:p>
      <w:r>
        <w:t>22.04.2025 Москва</w:t>
      </w:r>
    </w:p>
    <w:p>
      <w:r>
        <w:t>Комиссия Федеральной антимонопольной службы по контролю в сфере закупок (далее – Комиссия)</w:t>
      </w:r>
    </w:p>
    <w:p>
      <w:r>
        <w:t>рассмотрев посредством системы видео-конференц-связи жалобу ООО «Современные технологии» (далее – Заявитель) на действия Судебного департамента при Верховном суде Российской Федерации (далее – Заказчик) при проведении Заказчиком, комиссией по осуществлению закупок Заказчика (далее – Комиссия по осуществлению закупок), АО «Сбербанк-АСТ» (далее – Оператор электронной площадки) электронного аукциона на право заключения государственного контракта на поставку принтеров и многофункциональных устройств (номер извещения в единой информационной системе в сфере закупок www.zakupki.gov.ru (далее – ЕИС) – 0173100004725000007) (далее – Аукцион, Извещение),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Федеральную антимонопольную службу поступила жалоба Заявителя на действия Заказчика при проведении Заказчиком, Комиссией по осуществлению закупок,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сформировавшего описание объекта закупки Извещения (далее – Описание объекта закупки) в связи с установлением дополнительных характеристик к товарам, указанным в позициях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что привело к соответствию исключительно товарам иностранного производства.</w:t>
      </w:r>
    </w:p>
    <w:p>
      <w:r>
        <w:t>Представители Заказчика на заседании Комиссии не согласились с доводом Заявителя и сообщили, что при проведении Аукциона Заказчик действовал в соответствии с законодательством Российской Федерации о контрактной системе в сфере закупок.</w:t>
      </w:r>
    </w:p>
    <w:p>
      <w:r>
        <w:t>В соответствии с Извещением, протоколами составленными в ходе проведения Аукциона:</w:t>
      </w:r>
    </w:p>
    <w:p>
      <w:r>
        <w:t>Извещение размещено в ЕИС – 28.03.2025;</w:t>
      </w:r>
    </w:p>
    <w:p>
      <w:r>
        <w:t>способ определения поставщика (подрядчика, исполнителя) – электронный аукцион;</w:t>
      </w:r>
    </w:p>
    <w:p>
      <w:r>
        <w:t>начальная (максимальная) цена контракта – 1 156 045 778,73 руб.;</w:t>
      </w:r>
    </w:p>
    <w:p>
      <w:r>
        <w:t>источник финансирования – федеральный бюджет, КБК – 43801059050090020242, 43801059090090020242;</w:t>
      </w:r>
    </w:p>
    <w:p>
      <w:r>
        <w:t>дата окончания срока подачи заявок на участие в Аукционе – 14.04.2025;</w:t>
      </w:r>
    </w:p>
    <w:p>
      <w:r>
        <w:t>на участие в Аукционе подано 2 заявки от участников закупки;</w:t>
      </w:r>
    </w:p>
    <w:p>
      <w:r>
        <w:t>дата подачи ценовых предложений – 14.04.2025;</w:t>
      </w:r>
    </w:p>
    <w:p>
      <w:r>
        <w:t>в период подачи ценовых предложений предложения о цене контракта поданы 2 участниками Аукциона;</w:t>
      </w:r>
    </w:p>
    <w:p>
      <w:r>
        <w:t>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w:t>
      </w:r>
    </w:p>
    <w:p>
      <w:r>
        <w:t>победителем Аукциона признан участник закупки с идентификационным номером заявки «246» с предложением о цене контракта в размере 1 132 924 863,17 руб.</w:t>
      </w:r>
    </w:p>
    <w:p>
      <w:r>
        <w:t>Согласно доводу Заявителя Заказчиком ненадлежащим образом сформировано Описание объекта закупки в связи с установлением дополнительных характеристик к товарам, указанным в позициях приложения № 2 к Постановлению 1875, что привело к соответствию товаров исключительно товарам иностранного производства.</w:t>
      </w:r>
    </w:p>
    <w:p>
      <w:r>
        <w:t>В соответствии с пунктом 1 части 2 статьи 42 Закона о контрактной системе извещение об осуществлении закупки должно содержать, в том числе описание объекта закупки в соответствии со статьей 33 Закона о контрактной системе.</w:t>
      </w:r>
    </w:p>
    <w:p>
      <w:r>
        <w:t>Пунктом 1 части 1 статьи 33 Закона о контрактной системе установлено, что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Согласно пункту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информацию (при наличии), предусмотренную правилами использования каталога товаров, работ, услуг для обеспечения государственных и муниципальных нужд (далее – КТРУ), установленными в соответствии с частью 6 статьи 23 Закона о контрактной системе.</w:t>
      </w:r>
    </w:p>
    <w:p>
      <w:r>
        <w:t>Частью 6 статьи 23 Закона о контрактной системе установлено, что порядок формирования и ведения в единой информационной системе КТРУ, а также правила использования указанного каталога устанавливаются Правительством Российской Федерации.</w:t>
      </w:r>
    </w:p>
    <w:p>
      <w:r>
        <w:t>Постановлением Правительства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Постановление № 145) установлено, что позиции каталога товаров, работ, услуг для обеспечения государственных и муниципальных нужд (далее – КТРУ) формируются в соответствии с пунктом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 145.</w:t>
      </w:r>
    </w:p>
    <w:p>
      <w:r>
        <w:t>Пунктом 4 Правил использования каталога товаров, работ, услуг для обеспечения государственных и муниципальных нужд, утвержденных Постановлением № 145 (далее – Правила) установлено, что заказчики обязаны применять информацию, включенную в позицию КТРУ в соответствии с подпунктами «б» - «г» и «е» - «з» пункта 10 Правил.</w:t>
      </w:r>
    </w:p>
    <w:p>
      <w:r>
        <w:t>В соответствии с подпунктом «а» пункта 5 Правил заказчик вправе указать в извещении об осуществлении закупки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Закона о контрактной системе, которые не предусмотрены в позиции каталога, за исключением случая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 1875, позициях 191 – 361 приложения № 2 к Постановлению № 1875, применяются предусмотренные пунктом 1 указанного постановления запрет, ограничение соответственно.</w:t>
      </w:r>
    </w:p>
    <w:p>
      <w:r>
        <w:t>В соответствии с пунктом 15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подписывает усиленной электронной подписью лица, имеющего право действовать от имени заказчика, и размещает в ЕИС извещение об осуществлении закупки, содержащее,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Подпунктом «б» пункта 1 части 2 статьи 14 Закона о контрактной системе установлено, что Правительство Российской Федерации вправе с учетом положений части 3 статьи 14 Закона о контрактной системе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соответствии с указанной нормой Закона о контрактной системе Правительством Российской Федерации принято Постановление № 1875.</w:t>
      </w:r>
    </w:p>
    <w:p>
      <w:r>
        <w:t>Так, пункт 1 Постановления № 1875 устанавливает, что при осуществлении закупок в соответствии с Законом о контрактной системе, в том числе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Согласно Извещению объектом закупки является поставка принтеров и многофункциональных устройств (далее – Товары), коды по общероссийскому классификатору продукции по видам экономической деятельности (далее – ОКПД2) которых включены в позиции 200, 202 приложения № 2 Постановления № 1875, в связи с чем к Товарам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соответствии с положениями Постановления № 1875.</w:t>
      </w:r>
    </w:p>
    <w:p>
      <w:r>
        <w:t>Комиссией установлено, что требования к Товарам сформированы с учетом характеристик, указанных в позициях КТРУ 26.20.18.000-00000068, 26.20.18.000-00000069, 26.20.16.120-00000101 (далее – Позиции КТРУ)</w:t>
      </w:r>
    </w:p>
    <w:p>
      <w:r>
        <w:t>Вместе с тем на заседании Комиссии установлено, что в Описании объекта закупки установлены характеристики, отсутствующие в вышеуказанных позициях КТРУ.</w:t>
      </w:r>
    </w:p>
    <w:p>
      <w:r>
        <w:t>Так, например, в таблице № 2.1 Описания объекта закупки к позиции Товара «Принтер Тип 1» указаны следующие характеристики, отсутствующие в установленной позиции КТРУ 26.20.16.120-00000101, а именно: «Расчет листов производится с применением ГОСТ Р 57641-2017 бумага ксерографическая для офисной техники, согласно национальному стандарту, плотность бумаги для офисной техники (номинальная масса бумаги площадью 1 м2/г) составляет от 72 до 80 грамм (с максимальной погрешностью 3 грамма)».</w:t>
      </w:r>
    </w:p>
    <w:p>
      <w:r>
        <w:t>Кроме того, Заказчиком в Описании объекта закупки к Товару установлены необязательные для применения характеристики КТРУ, устанавливающие комплектность оригинальных картриджей, поставляемых с Товаром.</w:t>
      </w:r>
    </w:p>
    <w:p>
      <w:r>
        <w:t>Вместе с тем в Описании объекта закупки к таким характеристикам установлены дополнительные характеристики, а именно необязательная для применения характеристика КТРУ 26.20.16.120-00000101 «Количество оригинальных черных тонер-картриджей (включая стартовый), поставляемых с оборудованием» с значением характеристики «≥ 3 штук».</w:t>
      </w:r>
    </w:p>
    <w:p>
      <w:r>
        <w:t>Так, в таблице № 2.1 Описания объекта закупки к позиции Товара «Принтер Тип 1» установлены следующие дополнительные требования к необязательной для применения характеристика КТРУ 26.20.16.120-00000101 «Количество оригинальных черных тонер-картриджей (включая стартовый), поставляемых с оборудованием»: «В комплект поставляемого товара должны входить оригинальные картриджи. Суммарный комплект картриджей должен обеспечить печать не менее 21 000 отпечатков (при 5% заполнении листа формата А4). Картриджи должны отвечать требованиям, предъявляемым производителем товара. Картриджи должны быть оригинальными (т.е. произведены производителем товара, для которого они предназначены)».</w:t>
      </w:r>
    </w:p>
    <w:p>
      <w:r>
        <w:t>Так, в случае необходимости детального описания характеристик картриджей Заказчику необходимо сформировать описание объекта закупки в отношении картриджей в соответствии с положениями статьи 33 Закона о контрактной системе с применением защитных мер национального режима, установленными Постановлением № 1875.</w:t>
      </w:r>
    </w:p>
    <w:p>
      <w:r>
        <w:t>При этом Комиссия отмечает, что в соответствии с требованиями подпункта «а» пункта 5 Правил при установлении в Извещении ограничений закупок товаров (в том числе поставляемых при выполнении закупаемых работ, оказании закупаемых услуг), происходящих из иностранных государств в соответствии с положениями Постановления № 1875, указание Заказчиком дополнительных характеристик в Описании объекта закупки является неправомерным.</w:t>
      </w:r>
    </w:p>
    <w:p>
      <w:pPr>
        <w:pStyle w:val="Heading2"/>
      </w:pPr>
      <w:r>
        <w:t>мотивировочная часть</w:t>
      </w:r>
    </w:p>
    <w:p>
      <w:r>
        <w:t>Учитывая изложенное, Комиссия приходит к выводу, что действия Заказчика, установившего в Описании объекта закупки дополнительные характеристики, не предусмотренные позицией КТРУ, нарушают пункт 1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«Современные технологии» обоснованной.</w:t>
      </w:r>
    </w:p>
    <w:p>
      <w:r>
        <w:t>Признать в действиях Заказчика нарушение пункта 1 части 2 статьи 42 Закона о контрактной системе.</w:t>
      </w:r>
    </w:p>
    <w:p>
      <w:r>
        <w:t>В связи с тем, что по выявленному нарушению выдано предписание об устранении нарушения законодательства Российской Федерации о контрактной системе в сфере закупок от 22.04.2025 по делу № 28/06/105-2501/2025, по данному решению предписание не выдавать.</w:t>
      </w:r>
    </w:p>
    <w:p>
      <w:r>
        <w:t>В связи с тем, что материалы по выявленным нарушениям переданы на основании решения от 22.04.2025 по делу № 28/06/105-2501/2025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 материалы по настоящему делу для рассмотрения вопроса о возбуждении дела об административном правонарушении не передавать.</w:t>
      </w:r>
    </w:p>
    <w:p>
      <w:r>
        <w:t>Настоящее решение может быть обжаловано в судебном порядке в течение трех месяцев с даты его принятия.</w:t>
      </w:r>
    </w:p>
    <w:p>
      <w:r>
        <w:t>5</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