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202500100161009347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20.05.2025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0373200101325000007</w:t>
      </w:r>
    </w:p>
    <w:p>
      <w:r>
        <w:rPr>
          <w:b/>
        </w:rPr>
        <w:t xml:space="preserve">Банк: </w:t>
      </w:r>
      <w:r>
        <w:t>ПАО Сбербанк</w:t>
      </w:r>
    </w:p>
    <w:p>
      <w:r>
        <w:rPr>
          <w:b/>
        </w:rPr>
        <w:t xml:space="preserve">Заявитель: </w:t>
      </w:r>
      <w:r>
        <w:t>Романец Марина Вячеславовна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https://zakupki.gov.ru/epz/complaint/card/complaint-information.html?complaintNumber=202500100161009347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28/06/105-2780/2025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21.05.2025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рассмотрев посредством системы видео-конференц-связи жалобу ИП Романец М.В. (далее – Заявитель) на действия ПАО Сбербанк (далее – Банк) ГБУ «НИИОЗММ ДЗМ» (далее – Заказчик), АО «ЕЭТП» (далее – Оператор электронной площадки) электронного аукциона на право заключения контракта на выполнение работ по персонализации наградных комплектов «Московский врач», «Московская медицинская сестра», «Московский медицинский брат» (номер извещения в единой информационной системе в сфере закупок www.zakupki.gov.ru (далее – ЕИС) – 0373200101325000007) (далее – Аукцион,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Комиссией по осуществлению закупок, Оператором электронной площадки Аукциона.</w:t>
      </w:r>
    </w:p>
    <w:p>
      <w:r>
        <w:t>Согласно доводу жалобы Заявителя его права и законные интересы нарушены действиями Банка, выдавшего независимую гарантию, не соответствующую требованиям Закона о контрактной системе.</w:t>
      </w:r>
    </w:p>
    <w:p>
      <w:r>
        <w:t>Представители Банка на заседании Комиссии не согласились с доводом жалобы Заявителя и сообщили, что Банк действовал в соответствии с положениями Закона о контрактной системе.</w:t>
      </w:r>
    </w:p>
    <w:p>
      <w:r>
        <w:t>В ходе рассмотрения жалобы Заявителя 20.05.2025 Комиссией в целях полного и всестороннего рассмотрения довода жалобы в заседании Комиссии объявлен перерыв, заседание продолжилось 21.05.2025.</w:t>
      </w:r>
    </w:p>
    <w:p>
      <w:r>
        <w:t>В соответствии с Извещением, протоколами, составленными при проведении Аукциона:</w:t>
      </w:r>
    </w:p>
    <w:p>
      <w:r>
        <w:t>Извещение размещено в ЕИС – 16.04.2025;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максимальное значение цены контракта – 4 970 000 руб.;</w:t>
      </w:r>
    </w:p>
    <w:p>
      <w:r>
        <w:t>начальная сумма цен товара, работы, услуги – 887,33 руб.;</w:t>
      </w:r>
    </w:p>
    <w:p>
      <w:r>
        <w:t>дата окончания срока подачи заявок на участие в Аукционе – 24.04.2025;</w:t>
      </w:r>
    </w:p>
    <w:p>
      <w:r>
        <w:t>на участие в Аукционе подано 3 заявки от участников закупок;</w:t>
      </w:r>
    </w:p>
    <w:p>
      <w:r>
        <w:t>дата подведения итогов определения поставщика (подрядчика, исполнителя) – 24.04.2025;</w:t>
      </w:r>
    </w:p>
    <w:p>
      <w:r>
        <w:t>по результатам рассмотрения заявок принято решение о признании 3 заявок участников Аукциона соответствующими требованиям Извещения и Закона о контрактной системе;</w:t>
      </w:r>
    </w:p>
    <w:p>
      <w:r>
        <w:t>победителем Аукциона признан Заявитель с минимальным предложением о начальной сумме цен товара, работы, услуги в размере 421,13 руб.</w:t>
      </w:r>
    </w:p>
    <w:p>
      <w:r>
        <w:t>1. 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В соответствии с частью 6 статьи 45 Закона о контрактной системе основанием для отказа в принятии независимой гарантии заказчиком является:</w:t>
      </w:r>
    </w:p>
    <w:p>
      <w:r>
        <w:t>1) отсутствие информации о независимой гарантии в предусмотренных статьей 45 Закона о контрактной системе реестрах независимых гарантий;</w:t>
      </w:r>
    </w:p>
    <w:p>
      <w:r>
        <w:t>2)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3) несоответствие независимой гарантии требованиям, содержащимся 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Пунктом 1 постановления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утверждена типовая форма независимой гарантии, предоставляемой в качестве обеспечения исполнения контракта (далее – Типовая форма).</w:t>
      </w:r>
    </w:p>
    <w:p>
      <w:r>
        <w:t>В соответствии с Типовой формой независимая гарантия в разделе «Сумма независимой гарантии, подлежащая уплате гарантом бенефициару» должна содержать сумму, подлежащую уплате гарантом бенефициару, в соответствии с Извещением и Законом о контрактной системе.</w:t>
      </w:r>
    </w:p>
    <w:p>
      <w:r>
        <w:t>Согласно пункту 1 части 3 статьи 51 Закона о контрактной системе не позднее пяти рабочих дней, следующих за днем размещения заказчиком в соответствии с частью 2 статьи 51 Закона о контрактной системе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 (за исключением случаев, предусмотренных Законом о контрактной системе).</w:t>
      </w:r>
    </w:p>
    <w:p>
      <w:r>
        <w:t>В силу пункта 1 части 6 статьи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статьи 51 Закона о контрактной системе, а также случая, если таким участником закупки в срок, установленный частью 3 статьи 51 Закона о контрактной системе, не выполнены требования пункта 3 части 3 статьи 51 Закона о контрактной системе) и частью 5 статьи 51 Закона о контрактной системе такой участник закупки считается уклонившимся от заключения контракта.</w:t>
      </w:r>
    </w:p>
    <w:p>
      <w:r>
        <w:t>Согласно части 1 статьи 96 Закона о контрактной системе заказчиком, за исключением случаев, предусмотренных частью 2 статьи 96 Закона о контрактной системе, в извещении об осуществлении закупки, документации о закупке, проекте контракта, приглашении должно быть установлено требование обеспечения исполнения контракта.</w:t>
      </w:r>
    </w:p>
    <w:p>
      <w:r>
        <w:t>Частью 3 статьи 96 Закона о контрактной системе установлено, что исполнение контракта, гарантийные обязательства могут обеспечиваться предоставлением независимой гарантии, соответствующей требованиям статьи 45 Закона о контрактной системе,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</w:t>
      </w:r>
    </w:p>
    <w:p>
      <w:r>
        <w:t>В соответствии с частью 4 статьи 96 Закона о контрактной системе контракт заключается после предоставления участником закупки, с которым заключается контракт, обеспечения исполнения контракта в соответствии с Законом о контрактной системе.</w:t>
      </w:r>
    </w:p>
    <w:p>
      <w:r>
        <w:t>При этом согласно части 6.3 статьи 96 Закона о контрактной системе в случае, если предложенные в заявке участника закупки цена, сумма цен единиц товара, работы, услуги снижены на двадцать пять и более процентов по отношению к начальной (максимальной) цене контракта, начальной сумме цен единиц товара, работы, услуги, участник закупки, с которым заключается контракт, предоставляет обеспечение исполнения контракта с учетом положений статьи 37 Закона о контрактной системе.</w:t>
      </w:r>
    </w:p>
    <w:p>
      <w:r>
        <w:t>Так, согласно части 1 статьи 37 Закона о контрактной системе если при проведении конкурса или аукциона начальная (максимальная) цена контракта составляет более чем пятнадцать миллионов рублей 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либо предложена сумма цен единиц товара, работы, услуги, которая на двадцать пять и более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превышающем в полтора раза размер обеспечения исполнения контракта, указанный в извещении об осуществлении закупки, документации о закупке (в случае, если Законом о контрактной системе предусмотрена документация о закупке), но не менее чем десять процентов от начальной (максимальной) цены контракта или от цены заключаемого контракта (если контракт заключается по результатам определения поставщика (подрядчика, исполнителя) в соответствии с пунктом 1 части 1 статьи 30 Закона о контрактной системе) и не менее размера аванса (если контрактом предусмотрена выплата аванса).</w:t>
      </w:r>
    </w:p>
    <w:p>
      <w:r>
        <w:t>В силу части 2 статьи 37 Закона о контрактной системе если при проведении конкурса или аукциона начальная (максимальная) цена контракта составляет пятнадцать миллионов рублей и менее 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либо предложена сумма цен единиц товара, работы, услуги, которая на двадцать пять и более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указанном в части 1 статьи 37 Закона о контрактной системе, или информации, подтверждающей добросовестность такого участника в соответствии с частью 3 статьи 37 Закона о контрактной системе, с одновременным предоставлением таким участником обеспечения исполнения контракта в размере обеспечения исполнения контракта, указанном в извещении об осуществлении закупки, приглашении, документации о закупке (в случае, если Законом о контактной системе предусмотрена документация о закупке).</w:t>
      </w:r>
    </w:p>
    <w:p>
      <w:r>
        <w:t>Согласно протоколу подведения итогов определения поставщика (подрядчика, исполнителя) от 24.04.2025 № ИЭА1 (далее – Протокол подведения итогов) Заявителем подано предложение о начальной сумме цен товара, работы, услуги в размере 421,13 руб., в результате чего снижение от начальной суммы цен товара, работы, услуги составило 52,53 %.</w:t>
      </w:r>
    </w:p>
    <w:p>
      <w:r>
        <w:t>Таким образом, обеспечение исполнения контракта должно быть представлено в соответствии с частью 2 статьи 37 Закона о контрактной системе, превышающем в полтора раза размер обеспечения исполнения контракта, но не менее 10 % от максимального значения цены контракта.</w:t>
      </w:r>
    </w:p>
    <w:p>
      <w:r>
        <w:t>Заказчиком 25.04.2025 в ЕИС, а также на сайте Оператора электронной площадки размещен проект государственного контракта (далее – Проект контракта).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изложенного, регламентированной датой подписания Заявителем Проекта контракта с предоставлением обеспечения исполнения контракта или направления протокола разногласий в ЕИС, а также на сайте Оператора электронной площадки является 06.05.2025.</w:t>
      </w:r>
    </w:p>
    <w:p>
      <w:r>
        <w:t>При этом Комиссией установлено, что 07.05.2025 Заказчиком размещен протокол признания участника уклонившимся от заключения контракта от 07.05.2025 № ППУ20_1 по причине того, что сумма независимой гарантии, предоставляемой в качестве обеспечения исполнения контракта, подлежащая уплате гарантом бенефициару не соответствует сумме обеспечения исполнения контракта в соответствии с частью 2 статьи 37 Закона о контрактной системе.</w:t>
      </w:r>
    </w:p>
    <w:p>
      <w:r>
        <w:t>Также Комиссией установлено, что согласно Извещению размер обеспечения исполнения контракта составляет 248 500 руб., что является 5 % от максимального значения цены контракта.</w:t>
      </w:r>
    </w:p>
    <w:p>
      <w:r>
        <w:t>На заседании Комиссии представитель Заявителя пояснил, что в качестве обеспечения исполнения обязательств по контракту представлена независимая гарантия от 05.05.2025 № 25/0044/ASTAI/ММБ/074284 на сумму 372 750 руб. (далее – Независимая гарантия), при этом, по мнению Заявителя, Банком неправомерно выдана Независимая гарантия, сумма которой не соответствует сумме, подлежащей уплате в качестве обеспечения исполнения контракта, в связи с чем Заявитель признан уклонившимся от заключения контракта.</w:t>
      </w:r>
    </w:p>
    <w:p>
      <w:r>
        <w:t>Комиссия отмечает, что сумма Независимой гарантии, представленной в качестве обеспечения исполнения контракта на участие в Аукционе, подлежащая уплате гарантом бенефициару, составляет 372 750 руб., в то время как в соответствии с требованиями Извещения и части 2 статьи 37 Закона о контрактной системе сумма Независимой гарантии должна составлять 497 000,00 руб.</w:t>
      </w:r>
    </w:p>
    <w:p>
      <w:r>
        <w:t>Вместе с тем Комиссией установлено, что Независимая гарантия не соответствует требованиям Закона о контрактной системе, поскольку Независимая гарантия выдана на сумму 372 750 руб., что составляет менее 10 % от максимального значения цены контракта, установленного частью 2 статьи 37 Закона о контрактной системе.</w:t>
      </w:r>
    </w:p>
    <w:p>
      <w:r>
        <w:t>Таким образом, Комиссия приходит к выводу, что действия Банка, выдавшего Независимую гарантию, не соответствующую Извещению и положениям Закона о контрактной системе,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2. В ходе проведения внеплановой проверки Комиссией установлено следующее.</w:t>
      </w:r>
    </w:p>
    <w:p>
      <w:r>
        <w:t>Московским УФАС России принято решение от 16.05.2025 по делу № 077/06/106-6112/2025 (далее – Решение), в соответствии с которым в действиях Банка выявлено нарушение части 8.2 статьи 45 Закона о контрактной системе, выразившееся в предоставлении Независимой гарантии, не соответствующей положениям Извещения и Закона о контрактной системе.</w:t>
      </w:r>
    </w:p>
    <w:p>
      <w:r>
        <w:t>На основании Решения Заказчику, Комиссии по осуществлению закупок, Банку, Оператору электронной площадки выдано предписание об устранении выявленного нарушения Закона о контрактной системе от 16.05.2025 по делу № 077/06/106-6112/2025 (далее – Предписание) путем отмены протокола признания участника уклонившимся от заключения контракта от 07.05.2025 № ППУ20_1, повторного направления проекта контракта на подпись Заявителю, а так же Банку осуществить действия в соответствии с Законом о контрактной системе.</w:t>
      </w:r>
    </w:p>
    <w:p>
      <w:r>
        <w:t>Срок исполнения Предписания – 16.06.2025.</w:t>
      </w:r>
    </w:p>
    <w:p>
      <w:r>
        <w:t>На основании изложенного и руководствуясь частью 1 статьи 2, пунктом 1 части 15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ИП Романец М.В.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 связи с тем, что предписание об устранении нарушения выдано Московским УФАС России на основании решения от 16.05.2025 по делу № 077/06/106-6112/2025, предписание об устранении выявленного нарушения Закона о контрактной системе по настоящему делу не выдавать.</w:t>
      </w:r>
    </w:p>
    <w:p>
      <w:r>
        <w:t>Передать материалы от 21.05.2025 по делу № 28/06/105-2780/2025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7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