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202500100161011911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22.07.2025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0373100099925000025</w:t>
      </w:r>
    </w:p>
    <w:p>
      <w:r>
        <w:rPr>
          <w:b/>
        </w:rPr>
        <w:t xml:space="preserve">Банк: </w:t>
      </w:r>
      <w:r>
        <w:t>ПАО «Банк Уралсиб»</w:t>
      </w:r>
    </w:p>
    <w:p>
      <w:r>
        <w:rPr>
          <w:b/>
        </w:rPr>
        <w:t xml:space="preserve">Заявитель: </w:t>
      </w:r>
      <w:r>
        <w:t>ООО «Оптимум»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https://zakupki.gov.ru/epz/complaint/card/complaint-information.html?complaintNumber=202500100161011911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28/06/105-3471/2025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22.07.2025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Федеральной антимонопольной службы по контролю в сфере закупок (далее –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«Оптимум» (далее – Заявитель) на действия ПАО «Банк Уралсиб» (далее – Банк) при проведении ФГБОУ ВО РХТУ им. Д.И. Менделеева (далее – Заказчик), комиссией по осуществлению закупок Заказчика (далее – Комиссия по осуществлению закупок), АО «Сбербанк-АСТ» (далее – Оператор электронной площадки) электронного аукциона на право заключения контракта на поставку активного сетевого оборудования для нужд РХТУ им. Д.И. Менделеева (номер извещения в единой информационной системе в сфере закупок www.zakupki.gov.ru (далее – ЕИС) – 0373100099925000025) (далее – Аукцион, Извещение), и в результате осуществления внеплановой проверки в части действий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Банка при проведении Заказчиком, Комиссией по осуществлению закупок, Оператором электронной площадки Аукциона.</w:t>
      </w:r>
    </w:p>
    <w:p>
      <w:r>
        <w:t>Согласно доводу жалобы Заявителя его права и законные интересы нарушены действиями Банка, выдавшего независимую гарантию от 09.07.2025 № 9991-4R1/2122056 (далее – Независимая гарантия), не соответствующую требованиям Закона о контрактной системе.</w:t>
      </w:r>
    </w:p>
    <w:p>
      <w:r>
        <w:t>Банк в письменных пояснениях не согласился с доводом жалобы Заявителя и сообщил, что Банк действовал в соответствии с положениями Закона о контрактной системе.</w:t>
      </w:r>
    </w:p>
    <w:p>
      <w:r>
        <w:t>В соответствии с Извещением, протоколами, составленными при проведении Аукциона:</w:t>
      </w:r>
    </w:p>
    <w:p>
      <w:r>
        <w:t>Извещение размещено в ЕИС – 20.06.2025;</w:t>
      </w:r>
    </w:p>
    <w:p>
      <w:r>
        <w:t>способ определения поставщика (подрядчика, исполнителя) – электронный аукцион;</w:t>
      </w:r>
    </w:p>
    <w:p>
      <w:r>
        <w:t>начальная (максимальная) цена контракта – 6 225 165,80 руб. (далее – НМЦК);</w:t>
      </w:r>
    </w:p>
    <w:p>
      <w:r>
        <w:t>дата окончания срока подачи заявок на участие в Аукционе – 30.06.2025;</w:t>
      </w:r>
    </w:p>
    <w:p>
      <w:r>
        <w:t>на участие в Аукционе подано 4 заявки от участников закупки;</w:t>
      </w:r>
    </w:p>
    <w:p>
      <w:r>
        <w:t>дата подачи ценовых предложений – 30.06.2025;</w:t>
      </w:r>
    </w:p>
    <w:p>
      <w:r>
        <w:t>ценовые предложения подавали 4 участника закупки;</w:t>
      </w:r>
    </w:p>
    <w:p>
      <w:r>
        <w:t>по результатам рассмотрения заявок принято решение о признании 4 заявок участников Аукциона соответствующими требованиям Извещения и Закона о контрактной системе;</w:t>
      </w:r>
    </w:p>
    <w:p>
      <w:r>
        <w:t>победителем Аукциона признан участник с идентификационным номером заявки «58» с минимальным предложением о цене контракта в размере 4 108 609,37 руб.</w:t>
      </w:r>
    </w:p>
    <w:p>
      <w:r>
        <w:t>В соответствии с пунктом 1 части 1 статьи 45 Закона о контрактной системе заказчики в качестве обеспечения заявок, исполнения контрактов, гарантийных обязательств принимают независимые гарантии, выданные банками, соответствующими требованиям, установленным Правительством Российской Федерации, и включенными в перечень, предусмотренный частью 1.2 статьи 45 Закона о контрактной системе.</w:t>
      </w:r>
    </w:p>
    <w:p>
      <w:r>
        <w:t>Частью 6 статьи 45 Закона о контрактной системе основанием для отказа в принятии независимой гарантии заказчиком является:</w:t>
      </w:r>
    </w:p>
    <w:p>
      <w:r>
        <w:t>1) отсутствие информации о независимой гарантии в предусмотренных статьей 45 Закона о контрактной системе реестрах независимых гарантий;</w:t>
      </w:r>
    </w:p>
    <w:p>
      <w:r>
        <w:t>2) несоответствие независимой гарантии требованиям, предусмотренным частями 2, 3 и 8.2 статьи 45 Закона о контрактной системе;</w:t>
      </w:r>
    </w:p>
    <w:p>
      <w:r>
        <w:t>3) несоответствие независимой гарантии требованиям, содержащимся в извещении об осуществлении закупки, приглашении, документации о закупке, проекте контракта, который заключается с единственным поставщиком (подрядчиком, исполнителем).</w:t>
      </w:r>
    </w:p>
    <w:p>
      <w:r>
        <w:t>Согласно части 8.2 статьи 45 Закона о контрактной системе дополнительные требования к независимой гарантии, используемой для целей Закона о контрактной системе, порядок ведения и размещения в ЕИС реестра независимых гарантий, порядок формирования и ведения закрытого реестра независимых гарантий, в том числе включения в него информации, порядок и сроки предоставления выписок из него, типовая форма независимой гарантии, используемой для целей Закона о контрактной системе, форма требования об уплате денежной суммы по независимой гарантии устанавливаются Правительством Российской Федерации.</w:t>
      </w:r>
    </w:p>
    <w:p>
      <w:r>
        <w:t>Пунктом 1 постановления Правительства Российской Федерации от 08.11.2013 № 1005 «О независимых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 утверждена типовая форма независимой гарантии, предоставляемой в качестве обеспечения исполнения контракта (далее – Типовая форма).</w:t>
      </w:r>
    </w:p>
    <w:p>
      <w:r>
        <w:t>В соответствии с Типовой формой независимая гарантия в разделе «Сумма независимой гарантии, подлежащая уплате гарантом бенефициару» должна содержать сумму, подлежащую уплате гарантом бенефициару, в соответствии с Извещением и Законом о контрактной системе.</w:t>
      </w:r>
    </w:p>
    <w:p>
      <w:r>
        <w:t>Согласно пункту 1 части 3 статьи 51 Закона о контрактной системе не позднее пяти рабочих дней, следующих за днем размещения заказчиком в соответствии с частью 2 статьи 51 Закона о контрактной системе проекта контракта, участник 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 единой информационной системе (с использованием электронной площадки,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с Законом о контрактной системе (за исключением случаев, предусмотренных Законом о контрактной системе).</w:t>
      </w:r>
    </w:p>
    <w:p>
      <w:r>
        <w:t>В силу пункта 1 части 6 статьи 51 Закона о контрактной системе в случае, если участником закупки, с которым заключается контракт, не выполнены требования, предусмотренные частью 3 (за исключением случая, предусмотренного пунктом 3 части 3 статьи 51 Закона о контрактной системе, а также случая, если таким участником закупки в срок, установленный частью 3 статьи 51 Закона о контрактной системе, не выполнены требования пункта 3 части 3 статьи 51 Закона о контрактной системе) и частью 5 статьи 51 Закона о контрактной системе такой участник закупки считается уклонившимся от заключения контракта.</w:t>
      </w:r>
    </w:p>
    <w:p>
      <w:r>
        <w:t>Согласно части 1 статьи 96 Закона о контрактной системе заказчиком, за исключением случаев, предусмотренных частью 2 статьи 96 Закона о контрактной системе, в извещении об осуществлении закупки, документации о закупке, проекте контракта, приглашении должно быть установлено требование обеспечения исполнения контракта.</w:t>
      </w:r>
    </w:p>
    <w:p>
      <w:r>
        <w:t>Частью 3 статьи 96 Закона о контрактной системе установлено, что исполнение контракта, гарантийные обязательства могут обеспечиваться предоставлением независимой гарантии, соответствующей требованиям статьи 45 Закона о контрактной системе,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</w:t>
      </w:r>
    </w:p>
    <w:p>
      <w:r>
        <w:t>В соответствии с частью 4 статьи 96 Закона о контрактной системе контракт заключается после предоставления участником закупки, с которым заключается контракт, обеспечения исполнения контракта в соответствии с Законом о контрактной системе.</w:t>
      </w:r>
    </w:p>
    <w:p>
      <w:r>
        <w:t>При этом согласно части 6.3 статьи 96 Закона о контрактной системе в случае, если предложенные в заявке участника закупки цена, сумма цен единиц товара, работы, услуги снижены на двадцать пять и более процентов по отношению к начальной (максимальной) цене контракта, начальной сумме цен единиц товара, работы, услуги, участник закупки, с которым заключается контракт, предоставляет обеспечение исполнения контракта с учетом положений статьи 37 Закона о контрактной системе.</w:t>
      </w:r>
    </w:p>
    <w:p>
      <w:r>
        <w:t>Так, согласно части 1 статьи 37 Закона о контрактной системе если при проведении конкурса или аукциона начальная (максимальная) цена контракта составляет более чем пятнадцать миллионов рублей и участником закупки, с которым заключается контракт, предложена цена контракта, которая на двадцать пять и более процентов ниже начальной (максимальной) цены контракта, либо предложена сумма цен единиц товара, работы, услуги, которая на двадцать пять и более процентов ниже начальной суммы цен указанных единиц, контракт заключается только после предоставления таким участником обеспечения исполнения контракта в размере, превышающем в полтора раза размер обеспечения исполнения контракта, указанный в извещении об осуществлении закупки, документации о закупке (в случае, если Законом о контрактной системе предусмотрена документация о закупке), но не менее чем десять процентов от начальной (максимальной) цены контракта или от цены заключаемого контракта (если контракт заключается по результатам определения поставщика (подрядчика, исполнителя) в соответствии с пунктом 1 части 1статьи 30 Закона о контрактной системе) и не менее размера аванса (если контрактом предусмотрена выплата аванса).</w:t>
      </w:r>
    </w:p>
    <w:p>
      <w:r>
        <w:t>В силу части 2 статьи 37 Закона о контрактной системе если при проведении конкурса или аукциона начальная (максимальная) цена контракта составляет пятнадцать миллионов рублей и менее и участником закупки, с которым заключается контракт, предложена цена контракта, которая на двадцать пять и более процентов ниже начальной (максимальной) цены контракта, либо предложена сумма цен единиц товара, работы, услуги, которая на двадцать пять и более процентов ниже начальной суммы цен указанных единиц, контракт заключается только после предоставления таким участником обеспечения исполнения контракта в размере, указанном в части 1 статьи 37 Закона о контрактной системе, или информации, подтверждающей добросовестность такого участника в соответствии с частью 3 статьи 37 Закона о контрактной системе, с одновременным предоставлением таким участником обеспечения исполнения контракта в размере обеспечения исполнения контракта, указанном в извещении об осуществлении закупки, приглашении, документации о закупке (в случае, если Законом о контактной системе предусмотрена документация о закупке).</w:t>
      </w:r>
    </w:p>
    <w:p>
      <w:r>
        <w:t>Согласно протоколу подведения итогов определения поставщика (подрядчика, исполнителя) от 02.07.2025 № ИЭА1 (далее – Протокол подведения итогов) Заявителем подано предложение о цене контракта в размере 4 108 609,37 руб., в результате чего снижение от НМЦК составило 34 %.</w:t>
      </w:r>
    </w:p>
    <w:p>
      <w:r>
        <w:t>Таким образом, обеспечение исполнения контракта должно быть представлено в соответствии с частью 2 статьи 37 Закона о контрактной системе, в размере, превышающем в полтора раза размер обеспечения исполнения контракта, но не менее 10 % от НМЦК.</w:t>
      </w:r>
    </w:p>
    <w:p>
      <w:r>
        <w:t>Также Комиссией установлено, что согласно Извещению размер обеспечения исполнения контракта составляет 10 % от НМЦК.</w:t>
      </w:r>
    </w:p>
    <w:p>
      <w:r>
        <w:t>Комиссия отмечает, что сумма Независимой гарантии, представленной в качестве обеспечения исполнения контракта на участие в Аукционе, подлежащая уплате гарантом бенефициару, составляет 410 860,94 руб., в то время как в соответствии с требованиями Извещения и части 2 статьи 37 Закона о контрактной системе эта сумма должна составлять 933 774,87 руб.</w:t>
      </w:r>
    </w:p>
    <w:p>
      <w:r>
        <w:t>При этом Комиссией установлено, что 14.07.2025 Заказчиком размещен протокол признания участника уклонившимся от заключения контракта от 14.07.2025 № ППУ20_1 по причине того, что сумма независимой гарантии, предоставляемой в качестве обеспечения исполнения контракта, подлежащая уплате гарантом бенефициару, не соответствует сумме обеспечения исполнения контракта с учетом антидемпинговых мер в соответствии с частью 2 статьи 37 Закона о контрактной системе.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действия Банка, выдавшего Независимую гарантию, не соответствующую требованиям Извещения и положениям Закона о контрактной системе, нарушают часть 8.2 статьи 45 Закона о контрактной системе и содержат признаки состава административного правонарушения, ответственность за совершение которого предусмотрена частью 9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«Оптимум» обоснованной.</w:t>
      </w:r>
    </w:p>
    <w:p>
      <w:r>
        <w:t>Признать в действиях Банка нарушение части 8.2 статьи 45 Закона о контрактной системе.</w:t>
      </w:r>
    </w:p>
    <w:p>
      <w:r>
        <w:t>Выдать Заказчику, Комиссии по осуществлению закупок, Банку, Оператору электронной площадки предписание об устранении выявленного нарушения Закона о контрактной системе.</w:t>
      </w:r>
    </w:p>
    <w:p>
      <w:r>
        <w:t>Передать материалы от 22.07.2025 по делу № 28/06/105-3471/2025 соответствующему должностному лицу Управления контроля размещения государственного заказа ФАС России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трех месяцев с даты его принятия.</w:t>
      </w:r>
    </w:p>
    <w:p>
      <w:r>
        <w:t>5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ПРЕДПИСАНИЕ</w:t>
      </w:r>
    </w:p>
    <w:p>
      <w:r>
        <w:t>по делу № 28/06/105-3471/2025 об устранении нарушения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p>
      <w:r>
        <w:t>22.07.2025 Москва</w:t>
      </w:r>
    </w:p>
    <w:p>
      <w:r>
        <w:t>Комиссия Федеральной антимонопольной службы по контролю в сфере закупок (далее – Комиссия)</w:t>
      </w:r>
    </w:p>
    <w:p>
      <w:r>
        <w:t>на основании решения от 22.07.2025 по делу № 28/06/105-3471/2025, принятого Комиссией по итогам рассмотрения жалобы ООО «Оптимум» (далее – Заявитель) на действия ПАО «Банк Уралсиб» (далее – Банк) при проведении ФГБОУ ВО РХТУ им. Д.И. Менделеева (далее – Заказчик), комиссией по осуществлению закупок Заказчика (далее – Комиссия по осуществлению закупок), АО «Сбербанк-АСТ» (далее – Оператор электронной площадки) электронного аукциона на право заключения контракта на поставку активного сетевого оборудования для нужд РХТУ им. Д.И. Менделеева (номер извещения в единой информационной системе в сфере закупок www.zakupki.gov.ru (далее – ЕИС) – 0373100099925000025) (далее – Аукцион, Извещение), и в результате осуществления внеплановой проверки в части действий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Заказчику, Уполномоченному органу, Комиссии по осуществлению не позднее 3 рабочих дней со дня получения настоящего предписания:</w:t>
      </w:r>
    </w:p>
    <w:p>
      <w:r>
        <w:t>отменить протокол признания участника уклонившимся от заключения контракта от 14.07.2025 № ППУ20_1;</w:t>
      </w:r>
    </w:p>
    <w:p>
      <w:r>
        <w:t>повторно направить на подпись Заявителю проект контракта.</w:t>
      </w:r>
    </w:p>
    <w:p>
      <w:r>
        <w:t>Оператору электронной площадки обеспечить возможность исполнения пункта 1 настоящего предписания в соответствии с требованиями законодательства Российской Федерации о контрактной системе в сфере закупок и с учетом решения от 22.07.2025 по делу № 28/06/105-3471/2025.</w:t>
      </w:r>
    </w:p>
    <w:p>
      <w:r>
        <w:t>Банку при осуществлении действий, предусмотренных Законом о контрактной системе, осуществить их в соответствии с требованиями законодательства Российской Федерации о контрактной системе в сфере закупок и с учетом решения от 22.07.2025 по делу № 28/06/105-3471/2025.</w:t>
      </w:r>
    </w:p>
    <w:p>
      <w:r>
        <w:t>4. Заказчику, Уполномоченному органу, Комиссии по осуществлению закупок, Оператору электронной площадки, Банку в срок до 12.08.2025 исполнить настоящее предписание и представить в ФАС России подтверждение исполнения настоящего предписания в письменном виде, а также по электронной почте на zheltukhin@fas.gov.ru.</w:t>
      </w:r>
    </w:p>
    <w:p>
      <w:r>
        <w:t>В соответствии с частью 23 статьи 99 Закона о контрактной системе контракт не может быть заключен до даты исполнения предписания об устранении нарушений законодательства Российской Федерации о контрактной системе в сфере закупок.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