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202500100161017264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09.12.2025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0373200597925000071</w:t>
      </w:r>
    </w:p>
    <w:p>
      <w:r>
        <w:rPr>
          <w:b/>
        </w:rPr>
        <w:t xml:space="preserve">Банк: </w:t>
      </w:r>
      <w:r>
        <w:t>ПАО «Совкомбанк»</w:t>
      </w:r>
    </w:p>
    <w:p>
      <w:r>
        <w:rPr>
          <w:b/>
        </w:rPr>
        <w:t xml:space="preserve">Заявитель: </w:t>
      </w:r>
      <w:r>
        <w:t>ООО «Проектстройкомплекс»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https://zakupki.gov.ru/epz/complaint/card/complaint-information.html?complaintNumber=202500100161017264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28/06/105-4770/2025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10.12.2025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«ПроектСтройКомплекс» (далее – Заявитель) на действия ПАО «Совкомбанк» (далее – Банк) при проведении ГБУ города Москвы «Дирекция развития объектов здравоохранения города Москвы» (далее – Заказчик), комиссией по осуществлению закупок Заказчика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оказание услуг по выполнению работ по подготовке проектной и рабочей документации с получением положительного заключения Экспертизы, переоборудованию помещений под размещение компьютерного томографа в ГБУЗ «ГВВ № 3 ДЗМ» по адресу: г. Москва, ул. Стартовая, д.4, стр. 3 (лот 214) (номер извещения в единой информационной системе в сфере закупок www.zakupki.gov.ru (далее – ЕИС) – 0373200597925000071)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Комиссией по осуществлению закупок, Оператором электронной площадки Конкурса.</w:t>
      </w:r>
    </w:p>
    <w:p>
      <w:r>
        <w:t>По мнению Заявителя, его права и законные интересы нарушены действиями Банка, выдавшего независимую гарантию от 24.11.2025 № 3667407 в качестве обеспечения заявки на участие в Конкурсе (далее – Независимая гарантия), не соответствующую требованиям Извещения и Закона о контрактной системе.</w:t>
      </w:r>
    </w:p>
    <w:p>
      <w:r>
        <w:t>Банк письменных пояснений на заседание Комиссии не предоставил.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Извещение размещено в ЕИС – 30.10.2025;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39 838 162,55 руб.;</w:t>
      </w:r>
    </w:p>
    <w:p>
      <w:r>
        <w:t>дата окончания срока подачи заявок на участие в Конкурсе – 17.11.2025;</w:t>
      </w:r>
    </w:p>
    <w:p>
      <w:r>
        <w:t>на участие в Конкурсе подано 2 заявки от участников закупки;</w:t>
      </w:r>
    </w:p>
    <w:p>
      <w:r>
        <w:t>дата рассмотрения и оценки вторых частей заявок – 19.11.2025;</w:t>
      </w:r>
    </w:p>
    <w:p>
      <w:r>
        <w:t>дата подведения итогов определения поставщика (подрядчика, исполнителя) – 19.11.2025;</w:t>
      </w:r>
    </w:p>
    <w:p>
      <w:r>
        <w:t>по результатам рассмотрения заявок принято решение о признании 2 заявок участников Конкурса соответствующими требованиям Извещения и Закона о контрактной системе;</w:t>
      </w:r>
    </w:p>
    <w:p>
      <w:r>
        <w:t>победителем Конкурса признан участник закупки с идентификационным номером заявки «2539123» с предложением о цене контракта в размере 39 838 000руб.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для обеспечения заявки на участие в Конкурсе, не соответствующую требованиям Извещения и Закона о контрактной системе.</w:t>
      </w:r>
    </w:p>
    <w:p>
      <w:r>
        <w:t>Согласно пункту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Пунктом 3 части 6 статьи 45 Закона о контрактной системе установлено, что основанием для отказа в принятии независимой гарантии заказчиком является несоответствие независимой гарантии требованиям, содержащимся в извещении об осуществлении закупки, приглашении, документации о закупке (в случае, если Законом о контрактной системе предусмотрена документация о закупке), проекте контракта, который заключается с единственным поставщиком (подрядчиком, исполнителем).</w:t>
      </w:r>
    </w:p>
    <w:p>
      <w:r>
        <w:t>Согласно части 8 статьи 45 Закона о контрактной системе независимая гарантия, используемая для целей Закона о контрактной системы, информация о ней и документы, предусмотренные частью 9 статьи 45 Закона о контрактной системе, должны быть включены в реестр независимых гарантий, размещенный в ЕИС, за исключением независимых гарантий, указанных в части 8.1 статьи 45 Закона о контрактной системе. Ведение такого реестра осуществляется путем включения в соответствии с порядком, предусмотренным частью 8.2 статьи 45 Закона о контрактной системе, таких информации и документов в реестр и присвоения номера реестровой записи.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</w:r>
    </w:p>
    <w:p>
      <w:r>
        <w:t>В соответствии с частью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(вместе с «Дополнительными требованиями к независимой гарантии, используемой для целей Федерального закона «О контрактной системе в сфере закупок товаров, работ, услуг для обеспечения государственных и муниципальных нужд», «Правилами ведения и размещения в единой информационной системе в сфере закупок реестра независимых гарантий», «Правилами формирования и ведения закрытого реестра независимых гарантий») (далее – Постановление № 1005) утверждены, в том числе:</w:t>
      </w:r>
    </w:p>
    <w:p>
      <w:r>
        <w:t>– дополнительные требования к независимой гарантии, используемой для целей Закона о контрактной системе (далее - Дополнительные требования);</w:t>
      </w:r>
    </w:p>
    <w:p>
      <w:r>
        <w:t>– типовая форма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(далее – Типовая форма).</w:t>
      </w:r>
    </w:p>
    <w:p>
      <w:r>
        <w:t>На заседании Комиссии установлено, что согласно протоколу признания участника, уклонившимся от заключения контракта от 27.11.2025 № ППУ20_1 заявка Заявителя отклонена Комиссией по осуществлению закупок, на основании пункта 7 части 12 статьи 48 Закона о контрактной системе, ввиду несоответствия Независимой гарантии требованиям пункта 1 Типовой формы.</w:t>
      </w:r>
    </w:p>
    <w:p>
      <w:r>
        <w:t>В соответствии с Типовой формой пункт 1 независимой гарантии должен содержать следующую формулировку: «Настоящая независимая гарантия обеспечивает исполнение принципалом его обязательств, предусмотренных контрактом, заключенным с бенефициаром, включающих в том числе обязательства принципала по уплате неустоек (штрафов, пеней)».</w:t>
      </w:r>
    </w:p>
    <w:p>
      <w:r>
        <w:t>Вместе с тем Банком в пункте 1 независимых гарантий Заявителя указана следующая формулировка: «Настоящая независимая гарантия обеспечивает исполнение принципалом его обязательств, предусмотренных контрактом, заключенным с бенефициаром по итогам указанной выше закупке, включающих в том числе обязательства принципала по уплате неустоек (штрафов, пеней)».</w:t>
      </w:r>
    </w:p>
    <w:p>
      <w:r>
        <w:t>Таким образом, Комиссией установлено, что выданная Банком Независимая гарантия не соответствует Типовой форме, что привело что привело к признанию Заказчиком Заявителя уклонившимся от подписания контракта.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действия Банка, выдавшего Заявителю Независимую гарантию, не соответствующую Типовой форме, нарушают положения части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 (далее – КоАП РФ).</w:t>
      </w:r>
    </w:p>
    <w:p>
      <w:r>
        <w:t>Кроме того, должностным лицом ФАС России направлен запрос от 04.12.2025 № 28/115520/25 (далее – Запрос ФАС России) в письменной форме в Банк о предоставлении информации и документов по обстоятельствам жалобы Заявителя. При этом ответ от Банка по Запросу в адрес ФАС России по состоянию на 10.12.2025 не поступил.</w:t>
      </w:r>
    </w:p>
    <w:p>
      <w:r>
        <w:t>Учитывая изложенное, действия Банка, не предоставившего информацию и документы по Запросу ФАС России,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«ПроектСтройКомплекс»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 связи с тем, что по выявленному нарушению Московским УФАС России выдано предписание об устранении нарушений законодательства Российской Федерации о контрактной системе в сфере закупок от 04.12.2025 по делу № 077/06/106-15344/2025, по данному решению предписание не выдавать.</w:t>
      </w:r>
    </w:p>
    <w:p>
      <w:r>
        <w:t>Передать материалы от 10.12.2025 по делу № 28/06/105-4770/2025 соответствующему должностному лицу Управления контроля размещения государственного заказа ФАС России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