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202500100161017608</w:t>
      </w:r>
    </w:p>
    <w:p>
      <w:r>
        <w:rPr>
          <w:b/>
        </w:rPr>
        <w:t xml:space="preserve">УФАС: </w:t>
      </w:r>
      <w:r>
        <w:t>ФАС России</w:t>
      </w:r>
    </w:p>
    <w:p>
      <w:r>
        <w:rPr>
          <w:b/>
        </w:rPr>
        <w:t xml:space="preserve">Дата решения: </w:t>
      </w:r>
      <w:r>
        <w:t>16.12.2025</w:t>
      </w:r>
    </w:p>
    <w:p>
      <w:r>
        <w:rPr>
          <w:b/>
        </w:rPr>
        <w:t xml:space="preserve">Исход: </w:t>
      </w:r>
      <w:r>
        <w:t>обоснована</w:t>
      </w:r>
    </w:p>
    <w:p>
      <w:r>
        <w:rPr>
          <w:b/>
        </w:rPr>
        <w:t xml:space="preserve">Закупка №: </w:t>
      </w:r>
      <w:r>
        <w:t>0373200597225000084</w:t>
      </w:r>
    </w:p>
    <w:p>
      <w:r>
        <w:rPr>
          <w:b/>
        </w:rPr>
        <w:t xml:space="preserve">Банк: </w:t>
      </w:r>
      <w:r>
        <w:t>АО «Альфа-Банк»</w:t>
      </w:r>
    </w:p>
    <w:p>
      <w:r>
        <w:rPr>
          <w:b/>
        </w:rPr>
        <w:t xml:space="preserve">Заявитель: </w:t>
      </w:r>
      <w:r>
        <w:t>ООО «Аргус-цс»</w:t>
      </w:r>
    </w:p>
    <w:p>
      <w:r>
        <w:rPr>
          <w:b/>
        </w:rPr>
        <w:t xml:space="preserve">Первоисточник в ЕИС: </w:t>
      </w:r>
      <w:r>
        <w:t>https://zakupki.gov.ru/epz/complaint/card/complaint-information.html?complaintNumber=202500100161017608</w:t>
      </w:r>
    </w:p>
    <w:p/>
    <w:p>
      <w:pPr>
        <w:pStyle w:val="Heading1"/>
      </w:pPr>
      <w:r>
        <w:t>Решение</w:t>
      </w:r>
    </w:p>
    <w:p>
      <w:pPr>
        <w:pStyle w:val="Heading2"/>
      </w:pPr>
      <w:r>
        <w:t>вводная часть</w:t>
      </w:r>
    </w:p>
    <w:p>
      <w:r>
        <w:t>РЕШЕНИЕ</w:t>
      </w:r>
    </w:p>
    <w:p>
      <w:r>
        <w:t>по делу № 28/06/105-4865/2025 о нарушении</w:t>
      </w:r>
    </w:p>
    <w:p>
      <w:r>
        <w:t>законодательства Российской Федерации</w:t>
      </w:r>
    </w:p>
    <w:p>
      <w:r>
        <w:t>о контрактной системе в сфере закупок</w:t>
      </w:r>
    </w:p>
    <w:p>
      <w:r>
        <w:t>17.12.2025 Москва</w:t>
      </w:r>
    </w:p>
    <w:p>
      <w:pPr>
        <w:pStyle w:val="Heading2"/>
      </w:pPr>
      <w:r>
        <w:t>описательная часть</w:t>
      </w:r>
    </w:p>
    <w:p>
      <w:r>
        <w:t>Комиссия Федеральной антимонопольной службы по контролю в сфере закупок (далее – Комиссия) рассмотрев посредством видео-конференц-связи жалобу ООО «Аргус-ЦС» (далее – Заявитель) на действия АО «Альфа-Банк» (далее – Банк) при проведении ГБУ МФЦ города Москвы (далее – Заказчик), АО «ЕЭТП» (далее – Оператор электронной площадки) электронного аукциона на право заключения контракта на оказание услуг по техническому обслуживанию дефибрилляторов ГБУ МФЦ города Москвы (номер извещения в единой информационной системе в сфере закупок www.zakupki.gov.ru (далее – ЕИС) – № 0373200597225000084) (далее –Аукцион, Извещение), и в результате осуществления внеплановой проверки в части действий Банка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Федеральную антимонопольную службу поступила жалоба Заявителя на действия Банка при проведении Заказчиком, Оператором электронной площадки Аукциона.</w:t>
      </w:r>
    </w:p>
    <w:p>
      <w:r>
        <w:t>Согласно доводу жалобы Заявителя его права и законные интересы нарушены действиями Банка, выдавшего независимую гарантию для обеспечения исполнения контракта на участие в Аукционе от 03.12.2025 № 1EMR1X (далее – Независимая гарантия), не соответствующую требованиям Извещения и Закона о контрактной системе.</w:t>
      </w:r>
    </w:p>
    <w:p>
      <w:r>
        <w:t>Банк в письменных пояснениях не согласился с доводом Заявителя и сообщил, что при проведении Аукциона Банк действовал в соответствии с законодательством Российской Федерации о контрактной системе в сфере закупок.</w:t>
      </w:r>
    </w:p>
    <w:p>
      <w:r>
        <w:t>В ходе рассмотрения жалобы Заявителя 16.12.2025 в целях полного и всестороннего рассмотрения материалов дела в заседании Комиссии объявлен перерыв, заседание продолжилось 17.12.2025.</w:t>
      </w:r>
    </w:p>
    <w:p>
      <w:r>
        <w:t>В соответствии с Извещением, протоколами, составленными при проведении Аукциона:</w:t>
      </w:r>
    </w:p>
    <w:p>
      <w:r>
        <w:t>Извещение размещено в ЕИС – 14.11.2025;</w:t>
      </w:r>
    </w:p>
    <w:p>
      <w:r>
        <w:t>способ определения поставщика (подрядчика, исполнителя) – электронный аукцион;</w:t>
      </w:r>
    </w:p>
    <w:p>
      <w:r>
        <w:t>максимальное значение цены контракта – 23 536 182,92 руб.;</w:t>
      </w:r>
    </w:p>
    <w:p>
      <w:r>
        <w:t>начальная сумма цен товара, работы, услуги – 110 731,53 руб.;</w:t>
      </w:r>
    </w:p>
    <w:p>
      <w:r>
        <w:t>дата окончания срока подачи заявок на участие в Аукционе – 24.11.2025;</w:t>
      </w:r>
    </w:p>
    <w:p>
      <w:r>
        <w:t>на участие в Аукционе подано 3 заявки от участников закупки;</w:t>
      </w:r>
    </w:p>
    <w:p>
      <w:r>
        <w:t>дата подачи ценовых предложений – 24.11.2025;</w:t>
      </w:r>
    </w:p>
    <w:p>
      <w:r>
        <w:t>ценовое предложение подавалось 1 участником Аукциона;</w:t>
      </w:r>
    </w:p>
    <w:p>
      <w:r>
        <w:t>по результатам рассмотрения заявок принято решение о признании 3 заявок участников Аукциона соответствующими требованиям Извещения и Закона о контрактной системе;</w:t>
      </w:r>
    </w:p>
    <w:p>
      <w:r>
        <w:t>победителем Аукциона признан участник с идентификационным номером заявки «2574704» с минимальным ценовым предложением за единицу товара, работы, услуги в размере 110 177,87 руб.</w:t>
      </w:r>
    </w:p>
    <w:p>
      <w:r>
        <w:t>Согласно пункту 1 части 1 статьи 45 Закона о контрактной системе заказчики в качестве обеспечения заявок, исполнения контрактов, гарантийных обязательств принимают независимые гарантии, выданные банками, соответствующими требованиям, установленным Правительством Российской Федерации, и включенными в перечень, предусмотренный частью 1.2 статьи 45 Закона о контрактной системе.</w:t>
      </w:r>
    </w:p>
    <w:p>
      <w:r>
        <w:t>Пунктом 3 части 6 статьи 45 Закона о контрактной системе установлено, что основанием для отказа в принятии независимой гарантии заказчиком является несоответствие независимой гарантии требованиям, содержащимся в извещении об осуществлении закупки, приглашении, документации о закупке (в случае, если Законом о контрактной системе предусмотрена документация о закупке), проекте контракта, который заключается с единственным поставщиком (подрядчиком, исполнителем).</w:t>
      </w:r>
    </w:p>
    <w:p>
      <w:r>
        <w:t>Согласно части 8 статьи 45 Закона о контрактной системе независимая гарантия, используемая для целей Закона о контрактной системы, информация о ней и документы, предусмотренные частью 9 статьи 45 Закона о контрактной системе, должны быть включены в реестр независимых гарантий, размещенный в ЕИС, за исключением независимых гарантий, указанных в части 8.1 статьи 45 Закона о контрактной системе. Ведение такого реестра осуществляется путем включения в соответствии с порядком, предусмотренным частью 8.2 статьи 45 Закона о контрактной системе,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
        <w:t>В соответствии с частью 8.2 статьи 45 Закона о контрактной системе дополнительные требования к независимой гарантии, используемой для целей Закона о контрактной системе, порядок ведения и размещения в ЕИС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Закона о контрактной системе, форма требования об уплате денежной суммы по независимой гарантии устанавливаются Правительством Российской Федерации.</w:t>
      </w:r>
    </w:p>
    <w:p>
      <w:r>
        <w:t>Постановлением Правительства РФ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 1005) утверждены в том числе:</w:t>
      </w:r>
    </w:p>
    <w:p>
      <w:r>
        <w:t>– дополнительные требования к независимой гарантии, используемой для целей Закона о контрактной системы (далее – Дополнительные требования);</w:t>
      </w:r>
    </w:p>
    <w:p>
      <w:r>
        <w:t>– типовая форма независимой гарантии, предоставляемой в качестве обеспечения исполнения контракта (далее – Типовая форма).</w:t>
      </w:r>
    </w:p>
    <w:p>
      <w:r>
        <w:t>В соответствии с абзацем 1 Дополнительных требований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 должна быть составлена по утвержденным Постановлением № 1005 типовой форме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Законом о контрактной системе гарантийных обязательств), на условиях, определенных гражданским законодательством и статьей 45 Закона о контрактной системе.</w:t>
      </w:r>
    </w:p>
    <w:p>
      <w:r>
        <w:t>Согласно примечанию 5 к Типовой форме,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составлять не менее месяца со дня окончания срока подачи заявок.</w:t>
      </w:r>
    </w:p>
    <w:p>
      <w:r>
        <w:t>Представитель Заявителя на заседании Комиссии сообщил, что его права и законные интересы нарушены действиями Банка, выдавшего Независимую гарантию, не соответствующую требованиям, предусмотренным частью 8.2 статьи 45 Закона о контрактной системе, Постановления № 1005, что привело к принятию Заказчиком решения о признании Заявителя уклонившимся от заключения контракта.</w:t>
      </w:r>
    </w:p>
    <w:p>
      <w:r>
        <w:t>Согласно протоколу признания участника уклонившимся от заключения контракта от 08.12.2025 № ППУ20_1 Заявитель признан уклонившимся от заключения контракта по следующему основанию: «невыполнение участником закупки требований положений части 5 статьи 96 Закона о контрактной системе».</w:t>
      </w:r>
    </w:p>
    <w:p>
      <w:r>
        <w:t>На заседании Комиссии установлено, что Независимая гарантия не соответствует требованиям Постановления № 1005 в части сроков вступления Независимой гарантии в силу, предусмотренных условиями предоставленной Независимой гарантии.</w:t>
      </w:r>
    </w:p>
    <w:p>
      <w:r>
        <w:t>Согласно разделу «Условия независимой гарантии» Независимая гарантия вступает в силу с даты ее выдачи, при этом пунктом 16 того же раздела предусмотрено, что Независимая гарантия вступает в силу, обязанности по договору предоставления Независимой гарантии подлежат исполнению со дня заключения контракта, для обеспечения исполнения которого выдана настоящая Независимая гарантия.</w:t>
      </w:r>
    </w:p>
    <w:p>
      <w:r>
        <w:t>Вместе с тем Комиссия отмечает, что норма, закрепленная абзацем 1 Дополнительных требований, содержит обязанность гаранта, выдающего независимые гарантии, обеспечивать составление независимых гарантий по Типовой форме на условиях, определенных гражданским законодательством и статьей 45 Закона о контрактной системе, которая устанавливает в качестве обязательных оснований для отказа в принятии заказчиками независимых гарантий их несоответствие Типовой форме и требованиям, содержащимся в извещениях об осуществлении закупок.</w:t>
      </w:r>
    </w:p>
    <w:p>
      <w:pPr>
        <w:pStyle w:val="Heading2"/>
      </w:pPr>
      <w:r>
        <w:t>мотивировочная часть</w:t>
      </w:r>
    </w:p>
    <w:p>
      <w:r>
        <w:t>На основании изложенного Комиссия приходит к выводу, что действия Банка, выдавшего Независимую гарантию, не соответствующую Типовой форме, нарушают часть 8.2 статьи 45 Закона о контрактной системе и содержат признаки состава административного правонарушения, ответственность за совершение которого предусмотрена частью 9 статьи 7.30.1 Кодекса Российской Федерации об административных правонарушениях.</w:t>
      </w:r>
    </w:p>
    <w:p>
      <w:r>
        <w:t>Заказчик направил в Московское УФАС России обращение о включении Заявителя в реестр недобросовестных поставщиков, подрядчиков (далее – РНП), по итогам рассмотрения которого принято решение от 15.12.2025 по делу № 077/10/104-15777/2025 (далее – Решение) об отказе во включении информации о Заявителе в РНП.</w:t>
      </w:r>
    </w:p>
    <w:p>
      <w:r>
        <w:t>Так, согласно Решению в действиях Банка выявлено нарушение части 8.2 статьи 45 Закона о контрактной системе.</w:t>
      </w:r>
    </w:p>
    <w:p>
      <w:r>
        <w:t>На основании Решения Заказчику, Оператору электронной площадки, Банку выдано предписание от 15.12.2025 по делу № 077/10/104-15777/2025 (далее – Предписание) об устранении выявленного нарушения Закона о контрактной системе путем повторного направления проекта контракта Заявителю.</w:t>
      </w:r>
    </w:p>
    <w:p>
      <w:r>
        <w:t>Срок исполнения Предписания – 30.01.2026.</w:t>
      </w:r>
    </w:p>
    <w:p>
      <w:r>
        <w:t>На основании изложенного и руководствуясь частью 1 статьи 2, пунктом 1 части 15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«Аргус-ЦС» обоснованной.</w:t>
      </w:r>
    </w:p>
    <w:p>
      <w:r>
        <w:t>Признать в действиях Банка нарушение части 8.2 статьи 45 Закона о контрактной системе.</w:t>
      </w:r>
    </w:p>
    <w:p>
      <w:r>
        <w:t>В связи с тем, что по выявленному нарушению Московским УФАС России выдано предписание об устранении нарушения законодательства Российской Федерации о контрактной системе в сфере закупок от 15.12.2025 по делу № 077/10/104-15777/2025, по данному решению предписание не выдавать.</w:t>
      </w:r>
    </w:p>
    <w:p>
      <w:r>
        <w:t>Передать материалы от 17.12.2025 по делу № 28/06/105-4865/2025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трех месяцев с даты его принятия.</w:t>
      </w:r>
    </w:p>
    <w:p>
      <w:r>
        <w:t>3</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