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Дело № 202500114959002063</w:t>
      </w:r>
    </w:p>
    <w:p>
      <w:r>
        <w:rPr>
          <w:b/>
        </w:rPr>
        <w:t xml:space="preserve">УФАС: </w:t>
      </w:r>
      <w:r>
        <w:t>УФАС по Санкт-Петербургу</w:t>
      </w:r>
    </w:p>
    <w:p>
      <w:r>
        <w:rPr>
          <w:b/>
        </w:rPr>
        <w:t xml:space="preserve">Дата решения: </w:t>
      </w:r>
      <w:r>
        <w:t>07.03.2025</w:t>
      </w:r>
    </w:p>
    <w:p>
      <w:r>
        <w:rPr>
          <w:b/>
        </w:rPr>
        <w:t xml:space="preserve">Исход: </w:t>
      </w:r>
      <w:r>
        <w:t>обоснована</w:t>
      </w:r>
    </w:p>
    <w:p>
      <w:r>
        <w:rPr>
          <w:b/>
        </w:rPr>
        <w:t xml:space="preserve">Закупка №: </w:t>
      </w:r>
      <w:r>
        <w:t>0172200000725000040</w:t>
      </w:r>
    </w:p>
    <w:p>
      <w:r>
        <w:rPr>
          <w:b/>
        </w:rPr>
        <w:t xml:space="preserve">Заказчик: </w:t>
      </w:r>
      <w:r>
        <w:t>Государственное бюджетное общеобразовательное учреждение средняя общеобразовательная школа № 141 Красногвардейского района Санкт-Петербурга</w:t>
      </w:r>
    </w:p>
    <w:p>
      <w:r>
        <w:rPr>
          <w:b/>
        </w:rPr>
        <w:t xml:space="preserve">Заявитель: </w:t>
      </w:r>
      <w:r>
        <w:t>ООО «ЯРДЕК»</w:t>
      </w:r>
    </w:p>
    <w:p>
      <w:r>
        <w:rPr>
          <w:b/>
        </w:rPr>
        <w:t xml:space="preserve">Первоисточник в ЕИС: </w:t>
      </w:r>
      <w:r>
        <w:t>https://zakupki.gov.ru/epz/complaint/card/complaint-information.html?complaintNumber=202500114959002063</w:t>
      </w:r>
    </w:p>
    <w:p/>
    <w:p>
      <w:pPr>
        <w:pStyle w:val="Heading1"/>
      </w:pPr>
      <w:r>
        <w:t>Решение</w:t>
      </w:r>
    </w:p>
    <w:p>
      <w:pPr>
        <w:pStyle w:val="Heading2"/>
      </w:pPr>
      <w:r>
        <w:t>вводная часть</w:t>
      </w:r>
    </w:p>
    <w:tbl>
      <w:tblPr>
        <w:tblStyle w:val="TableGrid"/>
        <w:tblW w:type="auto" w:w="0"/>
        <w:tblLook w:firstColumn="1" w:firstRow="1" w:lastColumn="0" w:lastRow="0" w:noHBand="0" w:noVBand="1" w:val="04A0"/>
      </w:tblPr>
      <w:tblGrid>
        <w:gridCol w:w="4320"/>
        <w:gridCol w:w="4320"/>
      </w:tblGrid>
      <w:tr>
        <w:tc>
          <w:tcPr>
            <w:tcW w:type="dxa" w:w="4320"/>
          </w:tcPr>
          <w:p>
            <w:r/>
          </w:p>
        </w:tc>
        <w:tc>
          <w:tcPr>
            <w:tcW w:type="dxa" w:w="4320"/>
          </w:tcPr>
          <w:p>
            <w:r>
              <w:t>ГБОУ средняя общеобразовательная школа №141 Красногвардейского района Санкт‑Петербурга</w:t>
              <w:br/>
              <w:t>ул. Коммуны, д. 32, к. 4, лит. А,</w:t>
              <w:br/>
              <w:t>Санкт-Петербург, 195030</w:t>
              <w:br/>
              <w:t>эл. почта: school-141@obr.gov.spb.ru</w:t>
              <w:br/>
              <w:t>Администрация Красногвардейского района Санкт-Петербурга</w:t>
              <w:br/>
              <w:t>пр. Среднеохтинский, д. 50, лит. А,</w:t>
              <w:br/>
              <w:t>Санкт-Петербург, 195027</w:t>
              <w:br/>
              <w:t>эл. почта: maksimov.d@tukrgv.gov.spb.ru</w:t>
              <w:br/>
              <w:t>АО «Агентство по государственному заказу РТ»</w:t>
              <w:br/>
              <w:t>ул. Московская, д. 55,</w:t>
              <w:br/>
              <w:t>Казань, 420021</w:t>
              <w:br/>
              <w:t>факс: (843) 292-95-87</w:t>
              <w:br/>
              <w:t>ООО «ЯРДЕК»</w:t>
              <w:br/>
              <w:t>дор. Кушелевская, д. 1, к. 2, стр. 1, кв. 521,</w:t>
              <w:br/>
              <w:t>Санкт-Петербург, 195220</w:t>
              <w:br/>
              <w:t>эл. почта: kdsip@mail.ru</w:t>
            </w:r>
          </w:p>
        </w:tc>
      </w:tr>
    </w:tbl>
    <w:p>
      <w:r>
        <w:t>РЕШЕНИЕ по делу № 44-414/25 о нарушении законодательства о контрактной системе</w:t>
      </w:r>
    </w:p>
    <w:p>
      <w:r>
        <w:t>07.03.2025 Санкт-Петербург</w:t>
      </w:r>
    </w:p>
    <w:p>
      <w:r>
        <w:t>Комиссия Санкт-Петербургского УФАС России по контролю в сфере закупок (далее – Комиссия УФАС) в составе:</w:t>
      </w:r>
    </w:p>
    <w:p>
      <w:pPr>
        <w:pStyle w:val="Heading2"/>
      </w:pPr>
      <w:r>
        <w:t>описательная часть</w:t>
      </w:r>
    </w:p>
    <w:p>
      <w:r>
        <w:t>рассмотрев посредством системы видеоконференцсвязи жалобу Заявителя (вх. № 4552/25 от 03.03.2025) на действия Заказчика при определении поставщика (подрядчика, исполнителя) путем проведения открытого конкурса в электронной форме на выполнение работ по капитальному ремонту здания ГБОУ СОШ № 141, расположенного по адресу: Санкт-Петербург, ул. Коммуны, д. 32, к. 4 для нужд Санкт-Петербурга в 2025 году (извещение номер 0172200000725000040) (далее – конкурс), а также в результате проведения внеплановой проверки на основании п. 1 ч. 15 ст. 99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о контрактной системе),</w:t>
      </w:r>
    </w:p>
    <w:p>
      <w:r>
        <w:t>УСТАНОВИЛА:</w:t>
      </w:r>
    </w:p>
    <w:p>
      <w:r>
        <w:t>Извещение о проведении конкурса размещено 13.02.2025 на официальном сайте единой информационной системы в сфере закупок www.zakupki.gov.ru, номер извещения 0172200000725000040. Начальная (максимальная) цена контракта – 24 999 957,17 рублей.</w:t>
      </w:r>
    </w:p>
    <w:p>
      <w:r>
        <w:t>В жалобе ООО «ЯРДЕК» указывает на нарушения Заказчиком требований законодательства о контрактной системе, которые выразились в утверждении ненадлежащего порядка оценки.</w:t>
      </w:r>
    </w:p>
    <w:p>
      <w:r>
        <w:t>Согласно представленным в порядке ч. 1 ст. 106 Закона о контрактной системе возражениям Заказчик с доводами жалобы не согласен и считает ее необоснованной.</w:t>
      </w:r>
    </w:p>
    <w:p>
      <w:r>
        <w:t>Информация, изложенная в жалобе, пояснения сторон, имеющиеся документы подтверждают следующие обстоятельства.</w:t>
      </w:r>
    </w:p>
    <w:p>
      <w:r>
        <w:t>Частью 2 ст. 8 Закона о контрактной системе запрещается совершение заказчиками, специализированными организациями, их должностными лицами, комиссиями по осуществлению закупок, членами таких комиссий, участниками закупок, операторами электронных площадок, операторами специализированных электронных площадок любых действий, которые противоречат требованиям настоящего Федерального закона, в том числе приводят к ограничению конкуренции, в частности к необоснованному ограничению числа участников закупок.</w:t>
      </w:r>
    </w:p>
    <w:p>
      <w:r>
        <w:t>По смыслу ч.ч. 1, 2 и 4 ст. 24 Закона о контрактной системе открытый конкурс в электронной форме является конкурентным способом определения поставщиков (подрядчиков, исполнителей), победителем которого признается участник закупки, который предложил лучшие условия исполнения контракта и заявка на участие в закупке которого соответствует требованиям, установленным в извещении об осуществлении закупки, документации о закупке (в случае, если настоящим Федеральным законом предусмотрена документация о закупке).</w:t>
      </w:r>
    </w:p>
    <w:p>
      <w:r>
        <w:t>Электронный конкурс начинается с размещения в единой информационной системе извещения об осуществлении закупки (ч. 1 ст. 48 Закона о контрактной системе).</w:t>
      </w:r>
    </w:p>
    <w:p>
      <w:r>
        <w:t>Согласно п. 11 ч. 1 ст. 42 Закона о контрактной системе при осуществлении закупки путем проведения открытых конкурентных способов заказчик формирует с использованием единой информационной системы, подписывает усиленной электронной подписью лица, имеющего право действовать от имени заказчика, и размещает в единой информационной системе извещение об осуществлении закупки, содержащее критерии оценки заявок на участие в конкурсах, величины значимости этих критериев в соответствии с настоящим Федеральным законом.</w:t>
      </w:r>
    </w:p>
    <w:p>
      <w:r>
        <w:t>В соответствии с п. 4 ч. 2 ст. 42 Закона о контрактной системе извещение об осуществлении закупки, если иное не предусмотрено настоящим Федеральным законом, должно содержать электронные документы, содержащие порядок рассмотрения и оценки заявок на участие в конкурсах в соответствии с настоящим Федеральным законом.</w:t>
      </w:r>
    </w:p>
    <w:p>
      <w:r>
        <w:t>Частью 1 ст. 32 Закона о контрактной системе для оценки заявок участников закупки заказчик использует следующие критерии:</w:t>
      </w:r>
    </w:p>
    <w:p>
      <w:r>
        <w:t>1) цена контракта, сумма цен единиц товара, работы, услуги;</w:t>
      </w:r>
    </w:p>
    <w:p>
      <w:r>
        <w:t>2) расходы на эксплуатацию и ремонт товаров, использование результатов работ;</w:t>
      </w:r>
    </w:p>
    <w:p>
      <w:r>
        <w:t>3) качественные, функциональные и экологические характеристики объекта закупки;</w:t>
      </w:r>
    </w:p>
    <w:p>
      <w:r>
        <w:t>4) квалификация участников закупки, в том числе наличие у них финансовых ресурсов, на праве собственности или ином законном основании оборудования и других материальных ресурсов, опыта работы, связанного с предметом контракта, и деловой репутации, специалистов и иных работников определенного уровня квалификации.</w:t>
      </w:r>
    </w:p>
    <w:p>
      <w:r>
        <w:t>В силу ч. 8 ст. 32 Закона о контрактной системе порядок оценки заявок участников закупки, в том числе предельные величины значимости каждого критерия, устанавливается Правительством Российской Федерации. Заказчик для целей оценки заявок участников закупки в случае, если в соответствии с законодательством Российской Федерации установлены регулируемые цены (тарифы) на товары, работы, услуги, вправе не использовать критерии, указанные в п.п. 1 и 2 ч. 1 настоящей статьи.</w:t>
      </w:r>
    </w:p>
    <w:p>
      <w:r>
        <w:t>Положение об оценке заявок на участие в закупке товаров, работ, услуг для обеспечения государственных и муниципальных нужд (далее – Положение) установлено Постановлением Правительства РФ от 31.12.2021 № 2604 «Об оценке заявок на участие в закупке товаров, работ, услуг для обеспечения государственных и муниципальных нужд, внесении изменений в пункт 4 постановления Правительства Российской Федерации от 20 декабря 2021 г. № 2369 и признании утратившими силу некоторых актов и отдельных положений некоторых актов Правительства Российской Федерации».</w:t>
      </w:r>
    </w:p>
    <w:p>
      <w:r>
        <w:t>При этом согласно п. 2 Положения, «оценкой заявок» являются действия членов комиссии по осуществлению закупок по присвоению в случаях, предусмотренных Федеральным законом, и в соответствии с настоящим Положением баллов заявкам (частям заявок) на основании информации и документов участников закупок.</w:t>
      </w:r>
    </w:p>
    <w:p>
      <w:r>
        <w:t>Согласно п. 24 Положения для оценки заявок по критерию оценки «квалификация участников закупки» могут применяться, если иное не предусмотрено настоящим Положением, один или несколько из следующих показателей оценки:</w:t>
      </w:r>
    </w:p>
    <w:p>
      <w:r>
        <w:t>а) наличие у участников закупки финансовых ресурсов;</w:t>
      </w:r>
    </w:p>
    <w:p>
      <w:r>
        <w:t>б) наличие у участников закупки на праве собственности или ином законном основании оборудования и других материальных ресурсов;</w:t>
      </w:r>
    </w:p>
    <w:p>
      <w:r>
        <w:t>в) наличие у участников закупки опыта поставки товара, выполнения работы, оказания услуги, связанного с предметом контракта;</w:t>
      </w:r>
    </w:p>
    <w:p>
      <w:r>
        <w:t>г) наличие у участников закупки деловой репутации;</w:t>
      </w:r>
    </w:p>
    <w:p>
      <w:r>
        <w:t>д) наличие у участников закупки специалистов и иных работников определенного уровня квалификации.</w:t>
      </w:r>
    </w:p>
    <w:p>
      <w:r>
        <w:t>В соответствии с п. 28 Положения в случае применения показателя оценки, предусмотренного пп. «в» п. 24 настоящего Положения:</w:t>
      </w:r>
    </w:p>
    <w:p>
      <w:r>
        <w:t>а) применяются один или несколько из следующих детализирующих показателей оценки:</w:t>
      </w:r>
    </w:p>
    <w:p>
      <w:r>
        <w:t>общая цена исполненных участником закупки договоров;</w:t>
      </w:r>
    </w:p>
    <w:p>
      <w:r>
        <w:t>общее количество исполненных участником закупки договоров;</w:t>
      </w:r>
    </w:p>
    <w:p>
      <w:r>
        <w:t>наибольшая цена одного из исполненных участником закупки договоров;</w:t>
      </w:r>
    </w:p>
    <w:p>
      <w:r>
        <w:t>б) оценка заявок по детализирующим показателям, предусмотренным пп. «а» настоящего пункта, осуществляется в порядке, установленном п. 20 и 21 настоящего Положения, применение шкалы оценки не допускается;</w:t>
      </w:r>
    </w:p>
    <w:p>
      <w:r>
        <w:t>в) документом, предусмотренным приложением № 1 к настоящему Положению:</w:t>
      </w:r>
    </w:p>
    <w:p>
      <w:r>
        <w:t>устанавливается предмет договора (договоров), оцениваемого по каждому детализирующему показателю, сопоставимый с предметом контракта, заключаемого по результатам определения поставщика (подрядчика, исполнителя);</w:t>
      </w:r>
    </w:p>
    <w:p>
      <w:r>
        <w:t>устанавливается перечень документов, подтверждающих наличие у участника закупки опыта поставки товара, выполнения работы, оказания услуги, связанного с предметом контракта, в том числе исполненный договор (договоры), акт (акты) приемки поставленного товара, выполненных работ, оказанных услуг, составленные при исполнении такого договора (договоров);</w:t>
      </w:r>
    </w:p>
    <w:p>
      <w:r>
        <w:t>может быть установлено положение о принятии к оценке исключительно исполненного договора (договоров), при исполнении которого поставщиком (подрядчиком, исполнителем) исполнены требования об уплате неустоек (штрафов, пеней) (в случае начисления неустоек);</w:t>
      </w:r>
    </w:p>
    <w:p>
      <w:r>
        <w:t>может быть установлено положение о принятии к оценке исключительно контракта, заключенного и исполненного в соответствии с Федеральным законом, и договора, заключенного и исполненного в соответствии с Федеральным законом «О закупках товаров, работ, услуг отдельными видами юридических лиц»;</w:t>
      </w:r>
    </w:p>
    <w:p>
      <w:r>
        <w:t>г) последний акт, составленный при исполнении договора и предусмотренный абзацем третьим пп. «в» настоящего пункта, должен быть подписан не ранее чем за 5 лет до даты окончания срока подачи заявок;</w:t>
      </w:r>
    </w:p>
    <w:p>
      <w:r>
        <w:t>д) к оценке принимаются исполненные участником закупки с учетом правопреемства (в случае наличия в заявке подтверждающего документа) гражданско-правовые договоры;</w:t>
      </w:r>
    </w:p>
    <w:p>
      <w:r>
        <w:t>е) к оценке принимаются документы, предусмотренные абзацем третьим пп. «в» настоящего пункта, в случае их представления в заявке в полном объеме и со всеми приложениями, за исключением случаев, предусмотренных пп. «д» п. 31, пп. «г» п. 32 и пп. «г» п. 33 настоящего Положения. При проведении открытого конкурса в электронной форме или закрытого конкурса в электронной форме такие документы направляются в форме электронных документов или в форме электронных образов бумажных документов. При проведении закрытого конкурса направляются документы или заверенные участником закупки их копии;</w:t>
      </w:r>
    </w:p>
    <w:p>
      <w:r>
        <w:t>ж) если документы, предусмотренные абзацем третьим пп. «в» настоящего пункта, и информация о таких документах содержатся в открытых и общедоступных государственных реестрах, размещенных в информационно-телекоммуникационной сети «Интернет», в том числе ведение которых осуществляется в единой информационной системе в сфере закупок с размещением указанных документов на официальном сайте единой информационной системы в сфере закупок в информационно-телекоммуникационной сети «Интернет», вместо направления таких документов участник закупки вправе направить номер реестровой записи из соответствующего реестра.</w:t>
      </w:r>
    </w:p>
    <w:p>
      <w:r>
        <w:t>Пунктом 31 Положения установлено, что при осуществлении закупки, по результатам проведения которой заключается контракт, предусмотренный ч. 16 (при условии, что контракт жизненного цикла предусматривает проектирование, строительство, реконструкцию, капитальный ремонт объекта капитального строительства), ч. 16.1 ст. 34 и ч. 56 ст. 112 Федерального закона, а также контракт, предусматривающий выполнение работ по строительству, реконструкции, капитальному ремонту, сносу объекта капитального строительства (в том числе линейного объекта), проведение работ по сохранению объектов культурного наследия (памятников истории и культуры) народов Российской Федерации:</w:t>
      </w:r>
    </w:p>
    <w:p>
      <w:r>
        <w:t>а) критерии оценки, предусмотренные пп. «б» и «в» п. 3 настоящего Положения, не применяются;</w:t>
      </w:r>
    </w:p>
    <w:p>
      <w:r>
        <w:t>б) для оценки заявок по критерию, предусмотренному пп. «г» п. 3 настоящего Положения, подлежит обязательному применению исключительно показатель оценки, предусмотренный пп. «в» п. 24 настоящего Положения;</w:t>
      </w:r>
    </w:p>
    <w:p>
      <w:r>
        <w:t>в) документом, предусмотренным приложением № 1 к настоящему Положению, в отношении показателя оценки, предусмотренного пп. «в» п. 24 настоящего Положения, его детализирующих показателей устанавливается положение о принятии к оценке исключительно исполненного договора (договоров), предусматривающего выполнение работ на одном из следующих объектов, соответствующих объекту закупки:</w:t>
      </w:r>
    </w:p>
    <w:p>
      <w:r>
        <w:t>объект капитального строительства (за исключением линейного объекта);</w:t>
      </w:r>
    </w:p>
    <w:p>
      <w:r>
        <w:t>линейный объект, за исключением автомобильной дороги;</w:t>
      </w:r>
    </w:p>
    <w:p>
      <w:r>
        <w:t>автомобильная дорога;</w:t>
      </w:r>
    </w:p>
    <w:p>
      <w:r>
        <w:t>особо опасный, технически сложный и уникальный объект капитального строительства;</w:t>
      </w:r>
    </w:p>
    <w:p>
      <w:r>
        <w:t>объект культурного наследия (памятник истории и культуры) народов Российской Федерации;</w:t>
      </w:r>
    </w:p>
    <w:p>
      <w:r>
        <w:t>г) документом, предусмотренным приложением № 1 к настоящему Положению в отношении показателя оценки, предусмотренного пп. «в» п. 24 настоящего Положения, его детализирующих показателей устанавливается положение о принятии к оценке исключительно исполненного договора (договоров), относящегося к одному или нескольким из следующих договоров (контрактов):</w:t>
      </w:r>
    </w:p>
    <w:p>
      <w:r>
        <w:t>контракт, предусмотренный ч. 16 ст. 34 Федерального закона (при условии, что контракт жизненного цикла предусматривает проектирование, строительство, реконструкцию, капитальный ремонт объекта капитального строительства);</w:t>
      </w:r>
    </w:p>
    <w:p>
      <w:r>
        <w:t>контракт, предусмотренный ч. 16.1 ст. 34 Федерального закона;</w:t>
      </w:r>
    </w:p>
    <w:p>
      <w:r>
        <w:t>контракт, предусмотренный ч. 56 ст. 112 Федерального закона;</w:t>
      </w:r>
    </w:p>
    <w:p>
      <w:r>
        <w:t>договор, не относящийся к контрактам, указанным в абзацах втором - четвертом настоящего подпункта, и предусматривающий выполнение работ по строительству, реконструкции, капитальному ремонту, сносу объекта капитального строительства (в том числе линейного объекта), проведение работ по сохранению объектов культурного наследия (памятников истории и культуры) народов Российской Федерации;</w:t>
      </w:r>
    </w:p>
    <w:p>
      <w:r>
        <w:t>д) к оценке принимаются документы, предусмотренные абзацем третьим пп. «в» п. 28 настоящего Положения, в том числе если к ним не приложена проектная документация (если проектная документация является приложением к таким документам);</w:t>
      </w:r>
    </w:p>
    <w:p>
      <w:r>
        <w:t>е) если работы, являющиеся объектом закупки, требуют в соответствии с законодательством о градостроительной деятельности выдачи разрешения на ввод объекта капитального строительства в эксплуатацию, документом, предусмотренным приложением № 1 к настоящему Положению, в отношении показателя оценки, предусмотренного пп. «в» п. 24 настоящего Положения, его детализирующих показателей может быть установлено положение о принятии к оценке исключительно исполненного договора (договоров), предусматривающего (предусматривающих) выполнение работ, требующих в соответствии с законодательством о градостроительной деятельности выдачи разрешения на ввод объекта капитального строительства в эксплуатацию.</w:t>
      </w:r>
    </w:p>
    <w:p>
      <w:r>
        <w:t>Порядком оценки предусмотрены следующие положения:</w:t>
      </w:r>
    </w:p>
    <w:tbl>
      <w:tblPr>
        <w:tblStyle w:val="TableGrid"/>
        <w:tblW w:type="auto" w:w="0"/>
        <w:tblLook w:firstColumn="1" w:firstRow="1" w:lastColumn="0" w:lastRow="0" w:noHBand="0" w:noVBand="1" w:val="04A0"/>
      </w:tblPr>
      <w:tblGrid>
        <w:gridCol w:w="1728"/>
        <w:gridCol w:w="1728"/>
        <w:gridCol w:w="1728"/>
        <w:gridCol w:w="1728"/>
        <w:gridCol w:w="1728"/>
      </w:tblGrid>
      <w:tr>
        <w:tc>
          <w:tcPr>
            <w:tcW w:type="dxa" w:w="1728"/>
          </w:tcPr>
          <w:p>
            <w:r>
              <w:t>2.1</w:t>
            </w:r>
          </w:p>
        </w:tc>
        <w:tc>
          <w:tcPr>
            <w:tcW w:type="dxa" w:w="1728"/>
          </w:tcPr>
          <w:p>
            <w:r>
              <w:t>Показатель: Наличие у участников закупки опыта выполнения работы, связанного с предметом контракта</w:t>
              <w:br/>
              <w:t>Детализирующий показатель:</w:t>
              <w:br/>
              <w:t>Характеристика квалификации участников закупки N 1 (общая цена исполненных участником закупки договоров)</w:t>
            </w:r>
          </w:p>
        </w:tc>
        <w:tc>
          <w:tcPr>
            <w:tcW w:type="dxa" w:w="1728"/>
          </w:tcPr>
          <w:p>
            <w:r>
              <w:t>Подпункт «в» пункта 24 Положения</w:t>
              <w:br/>
              <w:t>Подпункт «а» пункта 28 Положения</w:t>
              <w:br/>
              <w:t>Подпункт «ж» пункта 28 Положения</w:t>
              <w:br/>
              <w:t>Начисление баллов производится в случае наличия в составе заявки документов, подтверждающих наличие у участника закупки опыта, соответствующего требованиям, установленным в настоящей графе.</w:t>
              <w:br/>
              <w:t>1. Перечень документов, подтверждающих наличие у участника закупки опыта, связанного с предметом контракта:</w:t>
              <w:br/>
              <w:t>- исполненный договор/контракт (договоры/контракты), предусматривающего выполнение работ на объекте капитального строительства (за исключением линейного объекта), относящегося к одному или нескольким из следующих договоров/контрактов:</w:t>
              <w:br/>
              <w:t>1) контракт, предусмотренный частью 16 статьи 34 Федерального закона №44-ФЗ (при условии, что контракт жизненного цикла предусматривает проектирование, строительство, реконструкцию, капитальный ремонт объекта капитального строительства);</w:t>
              <w:br/>
              <w:t>2) контракт, предусмотренный частью 16.1 статьи 34 Федерального закона №44-ФЗ;</w:t>
              <w:br/>
              <w:t>3) контракт, предусмотренный частью 56 статьи 112 Федерального закона №44-ФЗ;</w:t>
              <w:br/>
              <w:t>4) договор, не относящийся к контрактам, указанным в пунктах 1-3, и предусматривающий выполнение работ по строительству, реконструкции, капитальному ремонту, сносу объекта капитального строительства (в том числе линейного объекта), проведение работ по сохранению объектов культурного наследия (памятников истории и культуры) народов Российской Федерации;</w:t>
              <w:br/>
              <w:t>- акт (акты) приемки выполненных работ, составленные при исполнении такого договора/контракта (договоров/контрактов), при этом последний акт, составленный при исполнении договора/контракта и предусмотренный настоящим пунктом, должен быть подписан не ранее чем за 5 лет до даты окончания срока подачи заявок;</w:t>
              <w:br/>
              <w:t>- дополнительные соглашения (при их наличии) в полном объеме и со всеми приложениями;</w:t>
              <w:br/>
              <w:t>2. К оценке принимаются исключительно исполненные договора/контракты, при исполнении которых исполнителем исполнены требования об уплате неустоек (штрафов, пеней) (в случае начисления неустоек).</w:t>
              <w:br/>
              <w:t>3. К оценке принимаются документы, предусмотренные пунктами 1 и 2 настоящего раздела, в случае их представления в заявке в полном объеме и со всеми приложениями.</w:t>
              <w:br/>
              <w:t>При предоставлении в составе заявки подтверждающих документов, такие документы должны предоставляться в виде электронных образов соответствующих полных копий документов или электронных документов, с полностью читаемым текстом, со всеми приложениями (в случае наличия) и дополнениями (в случае наличия), если иное не указано в описании требований к подтверждающим документам по соответствующему показателю оценки, показателю оценки, детализирующему показатель оценки.</w:t>
              <w:br/>
              <w:t>Обращаем внимание участников электронного конкурса на применяемые в отношении настоящего показателя оценки, детализирующего показатель оценки, термины и определения:</w:t>
              <w:br/>
              <w:t>• Электронный образ документа (электронная копия документа, изготовленного на бумажном носителе) – переведенная в электронную форму с помощью средств сканирования и(или) фотографирования в качестве, обеспечивающем сохранение всех реквизитов и аутентичных признаков подлинности (в том числе графической подписи лица, печати (при наличии) и углового штампа бланка (при наличии)), копия с изготовленного на бумажном носителе оригинала документа, заверенная усиленной квалифицированной электронной подписью в составе заявки.</w:t>
              <w:br/>
              <w:t>• Электронный документ – документ, созданный в электронной форме без предварительного документирования на бумажном носителе, и представленный в виде, пригодном для восприятия человеком с использованием электронных вычислительных машин, а также для передачи по информационно-телекоммуникационным сетям или обработки в информационных системах, подписанный усиленной квалифицированной электронной подписью в составе заявки.</w:t>
              <w:br/>
              <w:t>При этом представленные документы должны быть в виде неповторяющихся, полно читаемых копий, на которых видны необходимые подписи и печати (при наличии).</w:t>
              <w:br/>
              <w:t>Договоры, по которым в представленных в заявке документах выявлены несоответствия сведений в части стоимости и объема выполненных работ при оценке заявки по детализирующему показателю «Общая цена исполненных участником закупки договоров» учтены не будут.</w:t>
              <w:br/>
              <w:t>Если документы и информация о таких документах содержатся в открытых и общедоступных государственных реестрах, размещенных в информационно-телекоммуникационной сети "Интернет", в том числе ведение которых осуществляется в единой информационной системе в сфере закупок с размещением указанных документов на официальном сайте единой информационной системы в сфере закупок в информационно-телекоммуникационной сети "Интернет", вместо направления таких документов участник закупки вправе направить номер реестровой записи из соответствующего реестра.</w:t>
              <w:br/>
              <w:t>В интересах участников электронного конкурса в целях оптимизации процесса оценки комиссией вторых частей заявок на участие в конкурсе участников закупок Заказчик рекомендует заполнить и предоставить среди документов, подтверждающих квалификацию участника конкурса заполненную рекомендованную форму «Сведения об общей цене исполненных участником закупки договоров/контрактов»:</w:t>
              <w:br/>
              <w:t>Рекомендованная форма «Сведения об общей цене исполненных участником закупки договоров/контрактов»</w:t>
              <w:br/>
              <w:t>Общая цена исполненных участником закупки договоров/контрактов составляет: ___________</w:t>
            </w:r>
          </w:p>
        </w:tc>
        <w:tc>
          <w:tcPr>
            <w:tcW w:type="dxa" w:w="1728"/>
          </w:tcPr>
          <w:p/>
        </w:tc>
        <w:tc>
          <w:tcPr>
            <w:tcW w:type="dxa" w:w="1728"/>
          </w:tcPr>
          <w:p/>
        </w:tc>
      </w:tr>
      <w:tr>
        <w:tc>
          <w:tcPr>
            <w:tcW w:type="dxa" w:w="1728"/>
          </w:tcPr>
          <w:p>
            <w:r>
              <w:t>1</w:t>
            </w:r>
          </w:p>
        </w:tc>
        <w:tc>
          <w:tcPr>
            <w:tcW w:type="dxa" w:w="1728"/>
          </w:tcPr>
          <w:p>
            <w:r>
              <w:t>2</w:t>
            </w:r>
          </w:p>
        </w:tc>
        <w:tc>
          <w:tcPr>
            <w:tcW w:type="dxa" w:w="1728"/>
          </w:tcPr>
          <w:p>
            <w:r>
              <w:t>3</w:t>
            </w:r>
          </w:p>
        </w:tc>
        <w:tc>
          <w:tcPr>
            <w:tcW w:type="dxa" w:w="1728"/>
          </w:tcPr>
          <w:p>
            <w:r>
              <w:t>4</w:t>
            </w:r>
          </w:p>
        </w:tc>
        <w:tc>
          <w:tcPr>
            <w:tcW w:type="dxa" w:w="1728"/>
          </w:tcPr>
          <w:p>
            <w:r>
              <w:t>5</w:t>
            </w:r>
          </w:p>
        </w:tc>
      </w:tr>
    </w:tbl>
    <w:p>
      <w:r>
        <w:t>Сведения, заполняемые в столбце 1 - № п/п</w:t>
      </w:r>
    </w:p>
    <w:p>
      <w:r>
        <w:t>Сведения, заполняемые в столбце 2 – Наименование организации заказчика Сведения, заполняемые в столбце 3 – реквизиты договора/контракта (номер договора/контракта и дата заключения)</w:t>
      </w:r>
    </w:p>
    <w:p>
      <w:r>
        <w:t>Сведения, заполняемые в столбце 4 – предмет договора/контракта</w:t>
      </w:r>
    </w:p>
    <w:p>
      <w:r>
        <w:t>Сведения, заполняемые в столбце 5 – объем фактически исполненных обязательств по договору/контракту.</w:t>
      </w:r>
    </w:p>
    <w:p>
      <w:r>
        <w:t>При наличии форм в составе заявки, такие формы должны соответствовать предоставленным в составе заявки на участие в конкурсе подтверждающим документам. При этом Заказчик обращает внимание на то, что отсутствие указанной в настоящем пункте формы не является основанием для признания заявки на участие в конкурсе, не соответствующей требованиям, установленным Заказчиком.</w:t>
      </w:r>
    </w:p>
    <w:p>
      <w:r>
        <w:t>Под значением характеристики квалификации участников закупки N1 понимается общая цена исполненных участником закупки договоров, соответствующих требованиям, установленным в настоящем пункте, в российских рублях.</w:t>
      </w:r>
    </w:p>
    <w:p>
      <w:r>
        <w:t>Из анализа извещения и проекта контракта следует, что выполнению подлежат работы по капитальному ремонту объекта капитального строительства, который не относится к линейным объектам, при этом данные работы не являются работами по сохранению объектов культурного наследия (памятников истории и культуры) народов Российской Федерации.</w:t>
      </w:r>
    </w:p>
    <w:p>
      <w:r>
        <w:t>Вместе с тем, Комиссия УФАС отмечает, что Заказчиком неправомерно установлена возможность представления контрактов, заключенных на выполнение работ в отношение объектов культурного наследия, в качестве подтверждения наличия у участника опыта, поскольку в соответствии с пп. «г» п. 31 Положения, поскольку Заказчик вправе оценивать наличие у участников закупки опыта поставки товара, выполнения работы, оказания услуги только лишь связанного с предметом контракта.</w:t>
      </w:r>
    </w:p>
    <w:p>
      <w:r>
        <w:t>Указание Заказчиком положения об оценке контрактов (договоров) на проведение работ по сохранению объектов культурного наследия (памятников истории и культуры) народов Российской Федерации на объекте капитального строительства (за исключением линейного объекта) является неправомерным, поскольку не относится к предмету контракта по данной закупке.</w:t>
      </w:r>
    </w:p>
    <w:p>
      <w:r>
        <w:t>При установленных обстоятельствах в действиях Заказчика усматривается нарушение п. 4 ч. 2 ст. 42 Закона о контрактной системе. Доводы жалобы являются обоснованными.</w:t>
      </w:r>
    </w:p>
    <w:p>
      <w:pPr>
        <w:pStyle w:val="Heading2"/>
      </w:pPr>
      <w:r>
        <w:t>мотивировочная часть</w:t>
      </w:r>
    </w:p>
    <w:p>
      <w:r>
        <w:t>Комиссия УФАС, руководствуясь ст. 99, 106 Закона о контрактной системе,</w:t>
      </w:r>
    </w:p>
    <w:p>
      <w:pPr>
        <w:pStyle w:val="Heading2"/>
      </w:pPr>
      <w:r>
        <w:t>резолютивная часть</w:t>
      </w:r>
    </w:p>
    <w:p>
      <w:r>
        <w:t>РЕШИЛА:</w:t>
      </w:r>
    </w:p>
    <w:p>
      <w:r>
        <w:t>1. Признать жалобу ООО «ЯРДЕК» обоснованной.</w:t>
      </w:r>
    </w:p>
    <w:p>
      <w:r>
        <w:t>2. Признать в действиях Заказчика нарушение п. 4 ч. 2 ст. 42 Закона о контрактной системе</w:t>
      </w:r>
    </w:p>
    <w:p>
      <w:r>
        <w:t>3. Выдать Заказчику, комиссии Уполномоченного органа по осуществлению закупок и оператору электронной площадки обязательное для исполнения предписание об устранении выявленного нарушения.</w:t>
      </w:r>
    </w:p>
    <w:p>
      <w:r>
        <w:t>4. Передать материалы дела уполномоченному должностному лицу для рассмотрения вопроса о возбуждении дела об административном правонарушении в отношении должностного лица Заказчика.</w:t>
      </w:r>
    </w:p>
    <w:p>
      <w:r>
        <w:t>Настоящее решение может быть обжаловано в судебном порядке в течение трёх месяцев со дня принятия.</w:t>
      </w:r>
    </w:p>
    <w:p>
      <w:r>
        <w:t>8</w:t>
      </w:r>
    </w:p>
    <w:p/>
    <w:p>
      <w:r>
        <w:rPr>
          <w:i/>
          <w:sz w:val="16"/>
        </w:rPr>
        <w:t>Источник данных — ЕИС, zakupki.gov.ru (публичный реестр жалоб). Сервис не является официальным ресурсом ЕИС/Минфина и не аффилирован с ними.</w:t>
      </w:r>
    </w:p>
    <w:p>
      <w:r>
        <w:rPr>
          <w:i/>
          <w:sz w:val="16"/>
        </w:rPr>
        <w:t>Материал носит справочный характер; актуальность и полнота не гарантируются. Юридически значимые сведения проверяйте на первоисточнике на zakupki.gov.ru.</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