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202500114959002400</w:t>
      </w:r>
    </w:p>
    <w:p>
      <w:r>
        <w:rPr>
          <w:b/>
        </w:rPr>
        <w:t xml:space="preserve">УФАС: </w:t>
      </w:r>
      <w:r>
        <w:t>УФАС по Санкт-Петербургу</w:t>
      </w:r>
    </w:p>
    <w:p>
      <w:r>
        <w:rPr>
          <w:b/>
        </w:rPr>
        <w:t xml:space="preserve">Дата решения: </w:t>
      </w:r>
      <w:r>
        <w:t>17.03.2025</w:t>
      </w:r>
    </w:p>
    <w:p>
      <w:r>
        <w:rPr>
          <w:b/>
        </w:rPr>
        <w:t xml:space="preserve">Исход: </w:t>
      </w:r>
      <w:r>
        <w:t>обоснована</w:t>
      </w:r>
    </w:p>
    <w:p>
      <w:r>
        <w:rPr>
          <w:b/>
        </w:rPr>
        <w:t xml:space="preserve">Закупка №: </w:t>
      </w:r>
      <w:r>
        <w:t>0172200002524000654</w:t>
      </w:r>
    </w:p>
    <w:p>
      <w:r>
        <w:rPr>
          <w:b/>
        </w:rPr>
        <w:t xml:space="preserve">Заказчик: </w:t>
      </w:r>
      <w:r>
        <w:t>Комитет по государственному заказу Санкт-Петербурга</w:t>
      </w:r>
    </w:p>
    <w:p>
      <w:r>
        <w:rPr>
          <w:b/>
        </w:rPr>
        <w:t xml:space="preserve">Заявитель: </w:t>
      </w:r>
      <w:r>
        <w:t>ООО «ВЕТРО»</w:t>
      </w:r>
    </w:p>
    <w:p>
      <w:r>
        <w:rPr>
          <w:b/>
        </w:rPr>
        <w:t xml:space="preserve">Первоисточник в ЕИС: </w:t>
      </w:r>
      <w:r>
        <w:t>https://zakupki.gov.ru/epz/complaint/card/complaint-information.html?complaintNumber=202500114959002400</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Комитет по государственному заказу Санкт-Петербурга</w:t>
              <w:br/>
              <w:t>Санкт-Петербург, ул. Новгородская, д. 20/литер А, 191144</w:t>
              <w:br/>
              <w:t>эл. почта: orgtorg@gz-spb.ru</w:t>
              <w:br/>
              <w:t>АО «Агентство по государственному</w:t>
              <w:br/>
              <w:t>заказу РТ»</w:t>
              <w:br/>
              <w:t>ул. Московская, д. 55,</w:t>
              <w:br/>
              <w:t>Казань, 420021</w:t>
              <w:br/>
              <w:t>факс: (843) 292-95-87</w:t>
              <w:br/>
              <w:t>ООО «Ветро»</w:t>
              <w:br/>
              <w:t>ул. Шпалерная, д. 54/2, лит. А,</w:t>
              <w:br/>
              <w:t>помещ. 317-318,</w:t>
              <w:br/>
              <w:t>Санкт-Петербург, 191015</w:t>
              <w:br/>
              <w:t>эл. почта: vetro.corp@gmail.com</w:t>
            </w:r>
          </w:p>
        </w:tc>
      </w:tr>
    </w:tbl>
    <w:p>
      <w:r>
        <w:t>РЕШЕНИЕ</w:t>
      </w:r>
    </w:p>
    <w:p>
      <w:r>
        <w:t>по делу № 44-492/25 о нарушении законодательства о контрактной системе</w:t>
      </w:r>
    </w:p>
    <w:p>
      <w:r>
        <w:t>19.03.2025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Комитета по государственному заказу Санкт-Петербурга (далее – Уполномоченный орган):;</w:t>
      </w:r>
    </w:p>
    <w:p>
      <w:r>
        <w:t>Администрация Кировского района Санкт-Петербурга (далее – Заказчик):;</w:t>
      </w:r>
    </w:p>
    <w:p>
      <w:r>
        <w:t>в отсутствие представителей ООО «Ветро» (далее – Заявитель) уведомленных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5282/25 от 11.03.2025) на действия комиссии Заказчика по осуществлению закупок при определении исполнителя путем проведения открытого конкурса в электронной форме на оказание услуг по техническому обслуживанию и обеспечению эксплуатации комплексных систем обеспечения безопасности в государственных бюджетных образовательных учреждениях, подведомственных администрации Кировского района Санкт-Петербурга, в 2024-2026 годах (совместные торги) (извещение № 0172200002524000654)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21.12.2024 в единой информационной системе, номер извещения 0172200002524000654. Максимальное значение цены контрактов: 56 618 782,84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При разработке оценки заявок на участие в закупке товаров, работ, услуг для обеспечения нужд Заказчика, Заказчиком установлен критерий оценки «Качественные, функциональные и экологические характеристики объекта закупки», в котором применен показатель оценки «Качественные характеристики объекта закупки». В рамках показателя оценки «Качественные характеристики объекта закупки» Заказчиком применен детализирующий показатель оценки «Качество работ (услуг)». В рамках детализирующего показателя «Качество работ (услуг)» оценивается наличие характеристики объекта закупки, а именно, предложения участника электронного конкурса, соответствующее требованиям, изложенным в извещении об электронном конкурсе со всеми приложениями, являющимися неотъемлемой частью извещения об электронном конкурсе, или отсутствие характеристики объекта закупки, а именно, предложения участника электронного конкурса, соответствующее требованиям, изложенным в извещении об электронном конкурсе со всеми приложениями, являющимися неотъемлемой частью извещения об электронном конкурсе. В рамках представляемого участником закупки качества работ, выраженное в описании порядка выполнения работы, являющемся объектом закупки устанавливается наличие или отсутствие, а также соответствие описания участника конкурса, требованиям, изложенным в документации об открытом конкурсе со всеми приложениями, являющимися неотъемлемой частью документации об открытом конкурсе, а именно наличие описания по каждой стадии выполнения работ. Наличие характеристики объекта закупки, а именно, предложения участника закупки представляет собой предложение участника закупки, выраженное в описании порядка выполнения работ (оказания услуг) по каждой стадии выполняемых работ (оказываемых услуг), которые в свою очередь включают свойства качества работ, исключением является свойство «организация выполнения работ (оказания услуг). Участнику закупки присваивается 100 баллов заявке, содержащей предложение о наличии характеристики объекта закупки, а при отсутствии характеристики объекта закупки участнику закупки присваивается - 0 баллов. Под свойством «Организация выполнения работ (оказания услуг)» понимается предоставление перечня документов, входящих в комплект отчетной документации, предоставляемый по итогам выполнения работ, указание формата файлов, в котором будут предоставлены документы, входящие в комплект отчетной документации, предоставление информации о привлечении/не привлечении к выполнению работ (оказания услуг) сторонних организаций (соисполнителей) и объемы работ, передаваемые им, такое свойство указывается один раз для всего описания порядка выполнения работы (оказания услуг), являющемся объектом закупки. При описании участником закупки перечня документов, входящих в комплект отчетной документации, предоставляемый по итогам выполнения работ (оказания услуг) необходимо учитывать в том числе документы, содержащие сведения о результатах деятельности подрядчика за определенный период времени, а именно за период исполнения контракта. Под свойством «Нормативная правовая база» понимается основные нормативные правовые акты Российской Федерации, регулирующие деятельность в области вида работ, соответствующего объекта закупки, в том числе высший нормативный правовой акт Российской Федерации, а также нормативная правовая база, в соответствии с которой участник закупки будет выполнять работы. Основным нормативным правовым актом является, акт имеющий самостоятельное значение по отношению к другим нормативным правовым актам, а также нормативный правовой акт, которым утверждается другой нормативный правовой акт, либо нормативный правовой акт, в который вносятся изменения, отменяется или разъясняется другим нормативным правовым актом, к таким актам следует относить в том числе "Гражданский кодекс Российской Федерации" от 30.11.1994 N 51-ФЗ, «Трудовой кодекс Российской Федерации» от 30.12.2001 N 197-ФЗ, Федеральный закон "О контрактной системе в сфере закупок товаров, работ, услуг для обеспечения государственных и муниципальных нужд" от 05.04.2013 N 44-ФЗ, а также акты, установленные в извещении об электронном конкурсе со всеми приложениями, являющимися неотъемлемой частью извещения об электронном конкурсе, которые относятся к выполнению работ (оказанию услуг). Под свойством «Привлекаемые специалисты при выполнении работ» понимаются специалисты, привлекаемые участником закупки в ходе исполнения контракта. В рамках свойства «Привлекаемые специалисты при выполнении работ», участнику закупки необходимо указать следующую информацию: должность, функции специалиста, привлекаемого в ходе исполнения контракта, перечень обязанностей по охране труда, которые будут исполняться в рамках выполнения работ, наличие/отсутствие повышения квалификации. Под свойством «Контроль качества выполненных работ» понимается комплекс мер, нацеленных на соблюдение тех норм и стандартов, которые являются необходимыми для соответствия результата выполненных работ, в том числе соответствие требованиям, изложенным в документации об открытом конкурсе со всеми приложениями, являющимися неотъемлемой частью документации об открытом конкурсе. В рамках свойства «Контроль качества выполненных работ» участник закупки указывает должность, а также документ, в рамках которого лицо будет уполномочено и назначено на выполнение соответствующего вида контроля, лица (группу лиц) для выполнения соответствующего вида контроля, которое будет осуществлять комплекс мер, нацеленных на соблюдение тех норм и стандартов, которые являются необходимыми для соответствия результата выполняемых работ (оказываемых услуг) требованиям, а также перечень контрольных мероприятий, проводимых уполномоченным на выполнение соответствующего вида контроля лицо (группу лиц), которое будет осуществлять комплекс мер, нацеленных на соблюдение тех норм и стандартов, которые являются необходимыми для соответствия результата выполненных работ (оказанных услуг). Под свойством «Используемое оборудование и/или инвентарь и/или средства» понимается оборудование и/или инвентарь и/или средства используемое в рамках выполнения работ (оказываемых услуг). Непредставление участником закупки «Описания порядка выполнения работ (оказания услуг)» с описанием выполняемых работ (оказываемых услуг) в отношении оцениваемых всех стадий по всем свойствам выполнения работ трактуется как «Отсутствие описания порядка выполнения работ (оказания услуг)». Описание порядка выполнения работ (оказания услуг), признается представленным в полном объеме в случае, если такое описание содержит описание в отношении всех стадий, а также в отношении всех оцениваемых свойств по каждой стадии, и такое описание в отношении оцениваемых стадий и свойств соответствует требованиям, изложенным в извещении об электронном конкурсе со всеми приложениями, являющимися неотъемлемой частью извещения об электронном конкурсе. Предоставление участником закупки «Описания порядка выполнения работ (оказания услуг)» с частичным описанием в отношении оцениваемых свойств по всем стадиям выполняемых работ (оказываемых услуг) трактуется как «Не представлено описание порядка выполнения работ (оказания услуг)». Описание порядка выполнения работ (оказания услуг) в отношении соответствующей стадии, должно быть представлено в виде индивидуального последовательного описания такой стадии. Описание порядка выполнения работ (оказания услуг) в отношении каждого оцениваемого свойства, должно содержать наименование соответствующего свойства. Описание порядка выполнения работ (оказания услуг) в отношении каждой оцениваемой стадии, должно содержать наименование соответствующей стадии. К оценке не принимается описание порядка выполнения работ (оказания услуг) описанное с нарушением требований, изложенным в извещении об электронном конкурсе со всеми приложениями, являющимися неотъемлемой частью извещения об электронном конкурсе, а также законодательства Российской Федерации, а именно: Федеральный закон "О контрактной системе в сфере закупок товаров, работ, услуг для обеспечения государственных и муниципальных нужд" от 05.04.2013 N 44-ФЗ. В случае, если участником конкурса в описании порядка выполнения работ (оказания услуг) указывается, что выполнение работ (оказание услуг) будет производиться в соответствии со всеми требованиями и/или нормативными документами, указанными в извещении о проведении конкурса и/или в соответствии с нормативными документами, и участником конкурса не предлагается описание выполняемых работ в отношении оцениваемых стадий и свойств и/или участником конкурса в описание выполняемых работ (оказываемых услуг) в отношении оцениваемых стадий и свойств, будет указано, что описание выполняемых работ (оказываемых услуг) будет соответствовать требованиям, указанными в извещении о проведении конкурса, без представленного Участником описания порядка выполнения работ (оказания услуг) (или аналогичные указания без представленного описания порядка выполнения работ (оказания услуг), соответствующего требованиям, изложенным в извещении об электронном конкурсе со всеми приложениями, являющимися неотъемлемой частью извещения об электронном конкурсе), то соответствующее описание признается не представленным участником конкурса.</w:t>
      </w:r>
    </w:p>
    <w:p>
      <w:r>
        <w:t>Согласно пункту 1.3.17 Описания объекта закупки Исполнитель обязан гарантировать Заказчику надежную и безотказную работу всех КСОБ на передаваемых в обслуживание объектах, качество всех оказанных услуг в соответствии с требованиями технической документации, действующими нормами и техническими условиями, а также своевременное устранение недостатков и дефектов, выявленных в период эксплуатации КСОБ.</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Тип объекта закупки</w:t>
            </w:r>
          </w:p>
        </w:tc>
        <w:tc>
          <w:tcPr>
            <w:tcW w:type="dxa" w:w="1728"/>
          </w:tcPr>
          <w:p>
            <w:r>
              <w:t>Услуги</w:t>
            </w:r>
          </w:p>
        </w:tc>
        <w:tc>
          <w:tcPr>
            <w:tcW w:type="dxa" w:w="1728"/>
          </w:tcPr>
          <w:p>
            <w:r/>
          </w:p>
        </w:tc>
        <w:tc>
          <w:tcPr>
            <w:tcW w:type="dxa" w:w="1728"/>
          </w:tcPr>
          <w:p/>
        </w:tc>
        <w:tc>
          <w:tcPr>
            <w:tcW w:type="dxa" w:w="1728"/>
          </w:tcPr>
          <w:p/>
        </w:tc>
      </w:tr>
      <w:tr>
        <w:tc>
          <w:tcPr>
            <w:tcW w:type="dxa" w:w="1728"/>
          </w:tcPr>
          <w:p>
            <w:r>
              <w:t>Код позиции</w:t>
            </w:r>
          </w:p>
        </w:tc>
        <w:tc>
          <w:tcPr>
            <w:tcW w:type="dxa" w:w="1728"/>
          </w:tcPr>
          <w:p>
            <w:r>
              <w:t>Наименование услуг</w:t>
            </w:r>
          </w:p>
        </w:tc>
        <w:tc>
          <w:tcPr>
            <w:tcW w:type="dxa" w:w="1728"/>
          </w:tcPr>
          <w:p>
            <w:r>
              <w:t>Наименование характеристик</w:t>
            </w:r>
          </w:p>
        </w:tc>
        <w:tc>
          <w:tcPr>
            <w:tcW w:type="dxa" w:w="1728"/>
          </w:tcPr>
          <w:p>
            <w:r>
              <w:t>Значение характеристик</w:t>
            </w:r>
          </w:p>
        </w:tc>
        <w:tc>
          <w:tcPr>
            <w:tcW w:type="dxa" w:w="1728"/>
          </w:tcPr>
          <w:p>
            <w:r>
              <w:t>Ед. Изм.</w:t>
            </w:r>
          </w:p>
        </w:tc>
      </w:tr>
      <w:tr>
        <w:tc>
          <w:tcPr>
            <w:tcW w:type="dxa" w:w="1728"/>
          </w:tcPr>
          <w:p>
            <w:r>
              <w:t>80.20.10.000</w:t>
            </w:r>
          </w:p>
        </w:tc>
        <w:tc>
          <w:tcPr>
            <w:tcW w:type="dxa" w:w="1728"/>
          </w:tcPr>
          <w:p>
            <w:r>
              <w:t>Техническое обслуживание базового оборудования АПС</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извещателя пожарного дымового</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извещателя пожарного теплового</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извещателя пожарного ручного</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извещателя дымового линейного</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базового оборудования СОУЭ</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оповещателя звукового речевого</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оповещателя светового "Выход"</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базового оборудования ОС</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извещателя охранного звукового (разбития стекла)</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извещателя охранного объемного оптико-электронного (движения)</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извещателя охранного магнитоконтактного универсального</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базового оборудования СВН</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видеокамеры уличной (аналоговой, цифровой)</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видеокамеры внутренней купольной (аналоговой, цифровой)</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базового оборудования СКУД</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точки прохода СКУД</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шлагбаума</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привода ворот в комплекте с блоком управления</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базового оборудования СКЗ</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r>
        <w:tc>
          <w:tcPr>
            <w:tcW w:type="dxa" w:w="1728"/>
          </w:tcPr>
          <w:p>
            <w:r>
              <w:t>80.20.10.000</w:t>
            </w:r>
          </w:p>
        </w:tc>
        <w:tc>
          <w:tcPr>
            <w:tcW w:type="dxa" w:w="1728"/>
          </w:tcPr>
          <w:p>
            <w:r>
              <w:t>Техническое обслуживание датчика контроля загазованности</w:t>
            </w:r>
          </w:p>
        </w:tc>
        <w:tc>
          <w:tcPr>
            <w:tcW w:type="dxa" w:w="1728"/>
          </w:tcPr>
          <w:p>
            <w:r>
              <w:t>техническое обслуживание и обеспечению эксплуатации комплексных систем обеспечения безопасности</w:t>
            </w:r>
          </w:p>
        </w:tc>
        <w:tc>
          <w:tcPr>
            <w:tcW w:type="dxa" w:w="1728"/>
          </w:tcPr>
          <w:p>
            <w:r>
              <w:t>В соответствии с Приложением № 2 к Описанию объекта закупки</w:t>
            </w:r>
          </w:p>
        </w:tc>
        <w:tc>
          <w:tcPr>
            <w:tcW w:type="dxa" w:w="1728"/>
          </w:tcPr>
          <w:p>
            <w:r>
              <w:t>Шт.</w:t>
            </w:r>
          </w:p>
        </w:tc>
      </w:tr>
    </w:tbl>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05.03.2025 №ПРОI2 заявке участника 65602 присвоено 100 баллов.</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сведения по показателю «Качественные характеристики объекта закупки», содержащие описание свойств объекта закупки.</w:t>
      </w:r>
    </w:p>
    <w:p>
      <w:r>
        <w:t>При этом, Комиссия УФАС отмечает, что описание свойств объекта закупки участника, в том числе, не содержит описания порядка выполнения работ (оказания услуг) по каждой стадии выполняемых работ (оказываемых услуг), установленным в пункте 1.3.17 Описания объекта закупки.</w:t>
      </w:r>
    </w:p>
    <w:p>
      <w:r>
        <w:t>Однако, порядком оценки заявок установлено, что непредставление участником закупки «Описания порядка выполнения работ (оказания услуг)» с описанием выполняемых работ (оказываемых услуг) в отношении оцениваемых всех стадий по всем свойствам выполнения работ трактуется как «Отсутствие описания порядка выполнения работ (оказания услуг)».</w:t>
      </w:r>
    </w:p>
    <w:p>
      <w:r>
        <w:t>Следовательно, представленное предложение участника по критерию «качественные, функциональные и экологические характеристики объекта закупки» не соответствует требованиям Заказчика, у комиссии Заказчика отсутствовали основания для начисления 100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«Ветро»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13</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Комитет по государственному заказу Санкт-Петербурга</w:t>
              <w:br/>
              <w:t>Санкт-Петербург, ул. Новгородская, д. 20/литер А, 191144</w:t>
              <w:br/>
              <w:t>эл. почта: orgtorg@gz-spb.ru</w:t>
              <w:br/>
              <w:t>АО «Агентство по государственному</w:t>
              <w:br/>
              <w:t>заказу РТ»</w:t>
              <w:br/>
              <w:t>ул. Московская, д. 55,</w:t>
              <w:br/>
              <w:t>Казань, 420021</w:t>
              <w:br/>
              <w:t>факс: (843) 292-95-87</w:t>
              <w:br/>
              <w:t>ООО «Ветро»</w:t>
              <w:br/>
              <w:t>ул. Шпалерная, д. 54/2, лит. А,</w:t>
              <w:br/>
              <w:t>помещ. 317-318,</w:t>
              <w:br/>
              <w:t>Санкт-Петербург, 191015</w:t>
              <w:br/>
              <w:t>эл. почта: vetro.corp@gmail.com</w:t>
            </w:r>
          </w:p>
        </w:tc>
      </w:tr>
    </w:tbl>
    <w:p>
      <w:r>
        <w:t>ПРЕДПИСАНИЕ</w:t>
      </w:r>
    </w:p>
    <w:p>
      <w:r>
        <w:t>по делу № 44-492/25 об устранении нарушений законодательства о закупках</w:t>
      </w:r>
    </w:p>
    <w:p>
      <w:r>
        <w:t>19.03.2025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44-492/25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Уполномоченному органу, Заказчику, Оператору электронной площадки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0172200002524000654;</w:t>
      </w:r>
    </w:p>
    <w:p>
      <w:r>
        <w:t>- повторно рассмотреть первые части заявок, поданные на участие в конкурсе № 0172200002524000654,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0172200002524000654) в соответствии с законодательством о контрактной системе;</w:t>
      </w:r>
    </w:p>
    <w:p>
      <w:r>
        <w:t>- завершить процедуру закупки с номером извещения № 0172200002524000654 в соответствии с законодательством о контрактной системе.</w:t>
      </w:r>
    </w:p>
    <w:p>
      <w:r>
        <w:t>2. Заказчику и конкурсной комиссии в срок до 30.04.2025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 – АО «Агентство по государственному заказу РТ»:</w:t>
      </w:r>
    </w:p>
    <w:p>
      <w:r>
        <w:t>- обеспечить Уполномоченному органу, Заказчику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