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202500114959003183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02.04.2025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0372100033825000164</w:t>
      </w:r>
    </w:p>
    <w:p>
      <w:r>
        <w:rPr>
          <w:b/>
        </w:rPr>
        <w:t xml:space="preserve">Заказчик: </w:t>
      </w:r>
      <w:r>
        <w:t>Федеральное государственное бюджетное учреждение «Санкт-Петербургский научно-исследовательский институт фтизиопульмонологии» министерства здравоохранения Российской Федерации</w:t>
      </w:r>
    </w:p>
    <w:p>
      <w:r>
        <w:rPr>
          <w:b/>
        </w:rPr>
        <w:t xml:space="preserve">Заявитель: </w:t>
      </w:r>
      <w:r>
        <w:t>ООО «Фортуналаб»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https://zakupki.gov.ru/epz/complaint/card/complaint-information.html?complaintNumber=202500114959003183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ФГБУ «Санкт-Петербургский научно-исследовательский институт фтизиопульмонологии» Минздрава России</w:t>
              <w:br/>
              <w:t>Лиговский пр., д. 2-4,</w:t>
              <w:br/>
              <w:t>Санкт-Петербург, 191036</w:t>
              <w:br/>
              <w:t>ООО «РТС-тендер»</w:t>
              <w:br/>
              <w:t>наб. Тараса Шевченко, д. 23А,</w:t>
              <w:br/>
              <w:t>Москва, 121151</w:t>
              <w:br/>
              <w:t>факс: (495) 733-95-19</w:t>
              <w:br/>
              <w:t>ООО «ФОРТУНАЛАБ»</w:t>
              <w:br/>
              <w:t>ул. Большая Серпуховская, д. 44, офис 15, ком. 34,</w:t>
              <w:br/>
              <w:t>Москва, 115093</w:t>
            </w:r>
          </w:p>
        </w:tc>
      </w:tr>
    </w:tbl>
    <w:p>
      <w:r>
        <w:t>РЕШЕНИЕ</w:t>
      </w:r>
    </w:p>
    <w:p>
      <w:r>
        <w:t>по делу № 44-688/25 о нарушении законодательства о контрактной системе</w:t>
      </w:r>
    </w:p>
    <w:p>
      <w:r>
        <w:t>02.04.2025 Санкт-Петербург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r>
        <w:t>при участии представителей:</w:t>
      </w:r>
    </w:p>
    <w:p>
      <w:r>
        <w:t>ФГБУ «Санкт-Петербургский научно-исследовательский институт фтизиопульмонологии» Минздрава России (далее – Заказчик):</w:t>
      </w:r>
    </w:p>
    <w:p>
      <w:r>
        <w:t>ООО «ФОРТУНАЛАБ» (далее – Заявитель):</w:t>
      </w:r>
    </w:p>
    <w:p>
      <w:pPr>
        <w:pStyle w:val="Heading2"/>
      </w:pPr>
      <w:r>
        <w:t>описательная часть</w:t>
      </w:r>
    </w:p>
    <w:p>
      <w:r>
        <w:t>рассмотрев посредством системы видеоконференцсвязи жалобу Заявителя (вх. № 6865/25 от 28.03.2025) на действия Заказчика при определении исполнителя путем проведения запроса котировок в электронной форме на поставку гемостатического материала для нужд ФГБУ «СПб НИИФ» Минздрава России в 2025 году (лот 1) (далее – запрос котировок), а также в результате проведения внеплановой проверки на основании п. 1 ч. 15 ст.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Извещение о проведении запроса котировок размещено 21.03.2025 в единой информационной системе, номер извещения 0372100033825000164. Начальная (максимальная) цена контракта – 1 500 000, 00 рублей.</w:t>
      </w:r>
    </w:p>
    <w:p>
      <w:r>
        <w:t>Согласно доводам, изложенным в жалобе, Заявитель указывает на наличие в извещении требований к показателям объекта закупки, которые невозможно выполнить, поскольку ни один товар, находящийся в законном обороте на территории Российской Федерации, не обладает совокупностью установленных Заказчиком характеристик. В частности, предметом оспаривания является описание характеристик костного воска, по которому в извещении установлены количественные показатели состава: пчелиный воск — ≥ 74%, парафин — ≥17%, изопропилпальмитат — ≥15%, что в совокупности дает 106%, что не соответствует логике и технической возможности состава продукта.</w:t>
      </w:r>
    </w:p>
    <w:p>
      <w:r>
        <w:t>Согласно представленным в порядке ч. 1 ст. 106 Закона о контрактной системе возражениям Заказчик с доводами жалобы согласен и считает ее обоснованной.</w:t>
      </w:r>
    </w:p>
    <w:p>
      <w:r>
        <w:t>Информация, изложенная в жалобе, пояснения представителей сторон, представленные документы подтверждают следующие обстоятельства.</w:t>
      </w:r>
    </w:p>
    <w:p>
      <w:r>
        <w:t>В соответствии с пунктом 1 части 2 статьи 42 Закона о контрактной системе, извещение об осуществлении закупки, если иное не предусмотрено Законом о контрактной системе, должно содержать, в том числе, описание объекта закупки в соответствии со статьей 33 Закона о контрактной системе.</w:t>
      </w:r>
    </w:p>
    <w:p>
      <w:r>
        <w:t>Комиссия УФАС, оценивая доводы сторон, исходит из того, что в силу п. 1, п. 2 ч. 1 ст. 33 Закона о контрактной системе, заказчик в случаях, предусмотренных настоящим Федеральным законом, при описании объекта закупки должен руководствоваться следующими правилами:</w:t>
      </w:r>
    </w:p>
    <w:p>
      <w:r>
        <w:t>1)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в следующих случаях:</w:t>
      </w:r>
    </w:p>
    <w:p>
      <w:r>
        <w:t>а) сопровождение такого указания словами «или эквивалент»;</w:t>
      </w:r>
    </w:p>
    <w:p>
      <w:r>
        <w:t>б) несовместимость товаров, на которых размещаются другие товарные знаки, и необходимость обеспечения взаимодействия таких товаров с товарами, используемыми заказчиком;</w:t>
      </w:r>
    </w:p>
    <w:p>
      <w:r>
        <w:t>в) осуществление закупки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оборудование;</w:t>
      </w:r>
    </w:p>
    <w:p>
      <w:r>
        <w:t>г) осуществление закупки медицинских изделий, специализированных продуктов лечебного питания, необходимых для назначения пациенту по медицинским показаниям (индивидуальная непереносимость, по жизненным показаниям) по решению врачебной комиссии, которое фиксируется в медицинской документации пациента и журнале врачебной комиссии. Перечень указанных медицинских изделий, специализированных продуктов лечебного питания и порядок его формирования утверждаются Правительством Российской Федерации;</w:t>
      </w:r>
    </w:p>
    <w:p>
      <w:r>
        <w:t>2) использование при составлении описания объекта закупки показателей, требований, условных обозначений и терминологии, касающихся технических характеристик, функциональных характеристик (потребительских свойств) товара, работы, услуги и качественных характеристик объекта закупки, которые предусмотрены техническими регламентами, принятыми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иных требований, связанных с определением соответствия поставляемого товара, выполняемой работы, оказываемой услуги потребностям заказчика.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регулировании, законодательством Российской Федерации о стандартизации показатели, требования, условные обозначения и терминология, в таком описании должно содержаться обоснование необходимости использования других показателей, требований, условных обозначений и терминологии.</w:t>
      </w:r>
    </w:p>
    <w:p>
      <w:r>
        <w:t>Частью 2 ст. 33 Закона о контрактной системе установлено, что документация о закупке в соответствии с требованиями, указанными в ч. 1 настоящей статьи, должна содержать показатели, позволяющие определить соответствие закупаемых товара, работы, услуги установленным заказчиком требованиям. При этом указываются максимальные и (или) минимальные значения таких показателей, а также значения показателей, которые не могут изменяться.</w:t>
      </w:r>
    </w:p>
    <w:p>
      <w:r>
        <w:t>Таким образом, по смыслу ст. 33 Закона о контрактной системе, при формировании Технического задания Заказчику в рамках Закона о контрактной системе предоставлены полномочия по самостоятельному определению размера лота, а также спецификации и параметров и характеристик товара, в наибольшей степени удовлетворяющих его потребности. Однако из буквального толкования вышеприведенных положений Закона о контрактной системе следует, что заказчики, осуществляющие закупку по правилам данного Закона, при описании объекта закупки должны таким образом прописать требования к закупаемым товарам, работам, услугам, чтобы, с одной стороны, повысить шансы на приобретение услуги именно с такими характеристиками, которые ему необходимы с другой стороны описание объекта закупки не должно необоснованно ограничивать количество участников закупки.</w:t>
      </w:r>
    </w:p>
    <w:p>
      <w:r>
        <w:t>В рассматриваемом случае предметом обжалования является описание объекта закупки, сформированное Заказчиком в техническом задании, в частности, в части установленных количественных характеристик костного воска. Заявитель указал, что суммарное значение массовых долей компонентов (пчелиный воск — ≥74%, парафин — ≥17%, изопропилпальмитат — ≥15%) в совокупности составляет более 100%, что противоречит нормам логики и элементарным принципам химической формулировки состава, а также свидетельствует о невозможности выполнения данных требований.</w:t>
      </w:r>
    </w:p>
    <w:p>
      <w:pPr>
        <w:pStyle w:val="Heading2"/>
      </w:pPr>
      <w:r>
        <w:t>мотивировочная часть</w:t>
      </w:r>
    </w:p>
    <w:p>
      <w:r>
        <w:t>Комиссия УФАС, руководствуясь положениями части 1 статьи 33 Закона о контрактной системе, согласно которым заказчик обязан формировать описание объекта закупки, содержащее объективные, однозначные и измеримые характеристики, позволяющие установить соответствие предлагаемого товара установленным требованиям, приходит к выводу о наличии признаков нарушения указанных положений. Указание суммарных параметров, превышающих физически возможные значения, свидетельствует о наличии в извещении внутренней противоречивости и потенциальной дискриминационной направленности по отношению к иным участникам закупки.</w:t>
      </w:r>
    </w:p>
    <w:p>
      <w:r>
        <w:t>Таким образом, Комиссией УФАС установлено, что при формировании описания объекта закупки Заказчиком были допущены нарушения требований пункта 1 части 1 статьи 33 Закона о контрактной системе.</w:t>
      </w:r>
    </w:p>
    <w:p>
      <w:r>
        <w:t>Как следует из представленных Заявителем сведений, подтвержденных регистрационными удостоверениями на медицинские изделия, ни один из зарегистрированных в РФ товаров не содержит в составе пчелиного воска, парафина и изопропилпальмитата в таких объемах, которые бы в совокупности превышали 100%. Приведенные в жалобе данные о фактическом составе медицинских изделий, находящихся в законном обороте, подтверждают невозможность исполнения требований Заказчика, и, следовательно, ограничение доступа к участию в закупке иных лиц, кроме потенциального единственного производителя или поставщика.</w:t>
      </w:r>
    </w:p>
    <w:p>
      <w:r>
        <w:t>Дополнительно Комиссией УФАС отмечается, что Заказчик в ходе рассмотрения жалобы признал обоснованность доводов Заявителя и выразил готовность устранить допущенные в описании объекта закупки недочеты, что также свидетельствует о признании наличия нарушений с его стороны.</w:t>
      </w:r>
    </w:p>
    <w:p>
      <w:r>
        <w:t>С учетом изложенного, действия Заказчика по формированию описания объекта закупки нарушают требования пункта 1 части 1 статьи 33 Закона о контрактной системе, так как устанавливают требования к товару, которым, по объективным причинам, не может соответствовать ни один товар, допущенный к обращению на территории Российской Федерации, что является недопустимым с точки зрения соблюдения принципов открытости, прозрачности и добросовестной конкуренции в сфере закупок.</w:t>
      </w:r>
    </w:p>
    <w:p>
      <w:r>
        <w:t>На основании изложенного, Комиссия УФАС приходит к выводу об обоснованности жалобы Заявителя и наличии в действиях Заказчика нарушений законодательства о контрактной системе.</w:t>
      </w:r>
    </w:p>
    <w:p>
      <w:r>
        <w:t>Выявленное в действиях Заказчика нарушение является существенным, что дало основания для выдачи обязательного для исполнения предписания о его устранении.</w:t>
      </w:r>
    </w:p>
    <w:p>
      <w:r>
        <w:t>Комиссия УФАС, руководствуясь ст. 99, 106 Закона о контрактной системе,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«ФОРТУНАЛАБ» обоснованной.</w:t>
      </w:r>
    </w:p>
    <w:p>
      <w:r>
        <w:t>Признать в действиях Заказчика нарушение п. 1 ч. 2 ст. 42 (п. 1 ч. 1 ст. 33) Закона о контрактной системе.</w:t>
      </w:r>
    </w:p>
    <w:p>
      <w:r>
        <w:t>Выдать Заказчику, его комиссии по осуществлению закупок и оператору электронной площадки обязательное для исполнения предписание об устранении выявленного нарушения.</w:t>
      </w:r>
    </w:p>
    <w:p>
      <w:r>
        <w:t>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Заказчика.</w:t>
      </w:r>
    </w:p>
    <w:p>
      <w:r>
        <w:t>Настоящее решение может быть обжаловано в судебном порядке в течение трёх месяцев со дня принятия.</w:t>
      </w:r>
    </w:p>
    <w:p>
      <w:r>
        <w:t>4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ФГБУ «Санкт-Петербургский научно-исследовательский институт фтизиопульмонологии» Минздрава России</w:t>
      </w:r>
    </w:p>
    <w:p>
      <w:r>
        <w:t>Лиговский пр., д. 2-4,</w:t>
      </w:r>
    </w:p>
    <w:p>
      <w:r>
        <w:t>Санкт-Петербург, 191036</w:t>
      </w:r>
    </w:p>
    <w:p>
      <w:r>
        <w:t>ООО «РТС-тендер»</w:t>
      </w:r>
    </w:p>
    <w:p>
      <w:r>
        <w:t>наб. Тараса Шевченко, д. 23А,</w:t>
      </w:r>
    </w:p>
    <w:p>
      <w:r>
        <w:t>Москва, 121151</w:t>
      </w:r>
    </w:p>
    <w:p>
      <w:r>
        <w:t>факс: (495) 733-95-19</w:t>
      </w:r>
    </w:p>
    <w:p>
      <w:r>
        <w:t>ООО «ФОРТУНАЛАБ»</w:t>
      </w:r>
    </w:p>
    <w:p>
      <w:r>
        <w:t>ул. Большая Серпуховская, д. 44, офис 15, ком. 34,</w:t>
      </w:r>
    </w:p>
    <w:p>
      <w:r>
        <w:t>Москва, 115093</w:t>
      </w:r>
    </w:p>
    <w:p>
      <w:r>
        <w:t>ПРЕДПИСАНИЕ</w:t>
      </w:r>
    </w:p>
    <w:p>
      <w:r>
        <w:t>об устранении нарушений законодательства о закупках</w:t>
      </w:r>
    </w:p>
    <w:p>
      <w:r>
        <w:t>по делу № 44-688/25</w:t>
      </w:r>
    </w:p>
    <w:p>
      <w:r>
        <w:t>02.04.2025 Санкт-Петербург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pPr>
        <w:pStyle w:val="Heading2"/>
      </w:pPr>
      <w:r>
        <w:t>мотивировочная часть</w:t>
      </w:r>
    </w:p>
    <w:p>
      <w:r>
        <w:t>на основании своего решения по делу № 44-688/25 о нарушении законодательства о закупках, руководствуясь ст. ст. 99, 106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 – ФГБУ «Санкт-Петербургский научно-исследовательский институт фтизиопульмонологии» Минздрава России, котировочной комиссии устранить нарушение п. 1 ч. 2 ст. 42 (п. 1 ч. 1 ст. 33) Закона о контрактной системе и с этой целью:</w:t>
      </w:r>
    </w:p>
    <w:p>
      <w:r>
        <w:t>- в 14-дневный срок со дня размещения настоящего предписания на официальном сайте отменить все протоколы, составленные в ходе размещения заказа с номером извещения 0372100033825000164;</w:t>
      </w:r>
    </w:p>
    <w:p>
      <w:r>
        <w:t>- внести изменения в извещение о запросе котировок, приведя его в соответствие с требованиями Закона о контрактной системе, руководствуясь мотивировочной частью решения, указанного в преамбуле настоящего предписания;</w:t>
      </w:r>
    </w:p>
    <w:p>
      <w:r>
        <w:t>- продлить срок окончания подачи заявок на участие в запросе котировок с номером извещения 0372100033825000164 в соответствии с требованиями законодательства о контрактной системе;</w:t>
      </w:r>
    </w:p>
    <w:p>
      <w:r>
        <w:t>- завершить процедуру закупки с номером извещения 0372100033825000164 в соответствии с законодательством о контрактной системе.</w:t>
      </w:r>
    </w:p>
    <w:p>
      <w:r>
        <w:t>2. Заказчику, котировочной комиссии представить в Управление Федеральной антимонопольной службы по Санкт-Петербургу документальные доказательства исполнения пункта 1 настоящего предписания в срок до 06.05.2025.</w:t>
      </w:r>
    </w:p>
    <w:p>
      <w:r>
        <w:t>3. Оператору электронной площадки – ООО «РТС-тендер»:</w:t>
      </w:r>
    </w:p>
    <w:p>
      <w:r>
        <w:t>- обеспечить Заказчику техническую возможность для исполнения пункта 1 настоящего предписания.</w:t>
      </w:r>
    </w:p>
    <w:p>
      <w:r>
        <w:t>Предписание может быть обжаловано в судебном порядке в течение трех месяцев со дня его вынесения.</w:t>
      </w:r>
    </w:p>
    <w:p>
      <w:r>
        <w:t>Примечание. За невыполнение должностным лицом заказчика, членом комиссии по осуществлению закупок, оператором электронной площадки, специализированной организацией в установленный срок законного предписания, требования органа, уполномоченного на осуществление контроля в сфере закупок ч. 7 ст. 19.5 Кодекса Российской Федерации об административных правонарушениях установлена административная ответственность.</w:t>
      </w:r>
    </w:p>
    <w:p>
      <w:r>
        <w:t>Привлечение к ответственности, предусмотренной законодательством Российской Федерации, не освобождает от обязанности исполнить предписание контролирующего органа.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