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202500114959003727</w:t>
      </w:r>
    </w:p>
    <w:p>
      <w:r>
        <w:rPr>
          <w:b/>
        </w:rPr>
        <w:t xml:space="preserve">УФАС: </w:t>
      </w:r>
      <w:r>
        <w:t>УФАС по Санкт-Петербургу</w:t>
      </w:r>
    </w:p>
    <w:p>
      <w:r>
        <w:rPr>
          <w:b/>
        </w:rPr>
        <w:t xml:space="preserve">Дата решения: </w:t>
      </w:r>
      <w:r>
        <w:t>11.04.2025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0372200000125000304</w:t>
      </w:r>
    </w:p>
    <w:p>
      <w:r>
        <w:rPr>
          <w:b/>
        </w:rPr>
        <w:t xml:space="preserve">Заказчик: </w:t>
      </w:r>
      <w:r>
        <w:t>Санкт-Петербургское государственное бюджетное учреждение здравоохранения «Городская мариинская больница»</w:t>
      </w:r>
    </w:p>
    <w:p>
      <w:r>
        <w:rPr>
          <w:b/>
        </w:rPr>
        <w:t xml:space="preserve">Заявитель: </w:t>
      </w:r>
      <w:r>
        <w:t>Замалиев Адель Ильдарович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https://zakupki.gov.ru/epz/complaint/card/complaint-information.html?complaintNumber=202500114959003727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СПб ГБУЗ «Городская Мариинская больница»</w:t>
      </w:r>
    </w:p>
    <w:p>
      <w:r>
        <w:t>Литейный пр., д. 56,</w:t>
      </w:r>
    </w:p>
    <w:p>
      <w:r>
        <w:t>Санкт-Петербург, 190000</w:t>
      </w:r>
    </w:p>
    <w:p>
      <w:r>
        <w:t>ООО «РТС-тендер»</w:t>
      </w:r>
    </w:p>
    <w:p>
      <w:r>
        <w:t>наб. Тараса Шевченко, д. 23А,</w:t>
      </w:r>
    </w:p>
    <w:p>
      <w:r>
        <w:t>Москва, 121151</w:t>
      </w:r>
    </w:p>
    <w:p>
      <w:r>
        <w:t>ИП Замалиев А.И.</w:t>
      </w:r>
    </w:p>
    <w:p>
      <w:r>
        <w:t>ул. Блюхера, д. 4, кв. 257,</w:t>
      </w:r>
    </w:p>
    <w:p>
      <w:r>
        <w:t>Казань, 420095</w:t>
      </w:r>
    </w:p>
    <w:p>
      <w:r>
        <w:t>РЕШЕНИЕ</w:t>
      </w:r>
    </w:p>
    <w:p>
      <w:r>
        <w:t>по делу № 44-810/25 о нарушении законодательства о контрактной системе</w:t>
      </w:r>
    </w:p>
    <w:p>
      <w:r>
        <w:t>11.04.2025 Санкт-Петербург</w:t>
      </w:r>
    </w:p>
    <w:p>
      <w:r>
        <w:t>Комиссия Санкт-Петербургского УФАС России по контролю в сфере закупок (далее – Комиссия УФАС) в составе:</w:t>
      </w:r>
    </w:p>
    <w:p>
      <w:r>
        <w:t>при участии представителей:</w:t>
      </w:r>
    </w:p>
    <w:p>
      <w:r>
        <w:t>СПб ГБУЗ «Городская Мариинская больница» (далее – Заказчик):</w:t>
      </w:r>
    </w:p>
    <w:p>
      <w:r>
        <w:t>ИП Замалиева А.И. (далее – Заявитель):</w:t>
      </w:r>
    </w:p>
    <w:p>
      <w:pPr>
        <w:pStyle w:val="Heading2"/>
      </w:pPr>
      <w:r>
        <w:t>описательная часть</w:t>
      </w:r>
    </w:p>
    <w:p>
      <w:r>
        <w:t>рассмотрев посредством видеоконференцсвязи жалобу Заявителя (вх. № 7990/25 от 08.04.2024) на действия Заказчика при определении исполнителя путем проведения запроса котировок в электронной форме на поставку медицинского расходного материала для нужд ОРХМДиЛ (далее – запрос котировок), а также в результате проведения внеплановой проверки на основании п. 1 ч. 15 ст.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r>
        <w:t>УСТАНОВИЛА:</w:t>
      </w:r>
    </w:p>
    <w:p>
      <w:r>
        <w:t>Извещение о проведении запроса котировок размещено 01.04.2025 в единой информационной системе, номер извещения 0372200000125000304. Начальная (максимальная) цена контракта – 9 663 430, 00 рублей.</w:t>
      </w:r>
    </w:p>
    <w:p>
      <w:r>
        <w:t>В жалобе Заявителем обжалуются положения технического задания, установленные Заказчиком при проведении запроса котировок. По мнению Заявителя, требования к ряду товарных позиций сформулированы таким образом, что в совокупности соответствуют характеристикам изделий только одного производителя, при этом отсутствует обоснование исключительности таких параметров и не предусмотрена возможность поставки эквивалентов. Это, по мнению Заявителя, приводит к необоснованному ограничению количества участников закупки и нарушает положения статьи 33 Закона о контрактной системе.</w:t>
      </w:r>
    </w:p>
    <w:p>
      <w:r>
        <w:t>Заказчик с жалобой не согласен.</w:t>
      </w:r>
    </w:p>
    <w:p>
      <w:pPr>
        <w:pStyle w:val="Heading2"/>
      </w:pPr>
      <w:r>
        <w:t>мотивировочная часть</w:t>
      </w:r>
    </w:p>
    <w:p>
      <w:r>
        <w:t>Ознакомившись с представленными документами и сведениями, заслушав пояснения представителей сторон, Комиссия УФАС приходит к следующим выводам.</w:t>
      </w:r>
    </w:p>
    <w:p>
      <w:r>
        <w:t>В силу п. 1 ч. 2 ст. 42 Закона о контрактной системе, извещение об осуществлении закупки, если иное не предусмотрено настоящим Федеральным законом, должно содержать описание объекта закупки в соответствии со статьей 33 настоящего Федерального закона.</w:t>
      </w:r>
    </w:p>
    <w:p>
      <w:r>
        <w:t>В свою очередь, в силу п. 1-п. 2 ч. 1 ст. 33 Закона о контрактной системе, заказчик в случаях, предусмотренных настоящим Федеральным законом, при описании объекта закупки должен руководствоваться следующими правилами:</w:t>
      </w:r>
    </w:p>
    <w:p>
      <w:r>
        <w:t>1) в описании объекта закупки указываются функциональные, технические и качественные характеристики, эксплуатационные характеристики объекта закупки (при необходимости). В описание объекта закупки не должны включаться требования или указания в отношении товарных знаков, знаков обслуживания, фирменных наименований, патентов, полезных моделей, промышленных образцов, наименование страны происхождения товара, требования к товарам, информации, работам, услугам при условии, что такие требования или указания влекут за собой ограничение количества участников закупки. Допускается использование в описании объекта закупки указания на товарный знак в следующих случаях:</w:t>
      </w:r>
    </w:p>
    <w:p>
      <w:r>
        <w:t>а) сопровождение такого указания словами «или эквивалент»;</w:t>
      </w:r>
    </w:p>
    <w:p>
      <w:r>
        <w:t>б) несовместимость товаров, на которых размещаются другие товарные знаки, и необходимость обеспечения взаимодействия таких товаров с товарами, используемыми заказчиком;</w:t>
      </w:r>
    </w:p>
    <w:p>
      <w:r>
        <w:t>в) осуществление закупки запасных частей и расходных материалов к машинам и оборудованию, используемым заказчиком, в соответствии с технической документацией на указанные машины и оборудование;</w:t>
      </w:r>
    </w:p>
    <w:p>
      <w:r>
        <w:t>г) осуществление закупки медицинских изделий, специализированных продуктов лечебного питания, необходимых для назначения пациенту по медицинским показаниям (индивидуальная непереносимость, по жизненным показаниям) по решению врачебной комиссии, которое фиксируется в медицинской документации пациента и журнале врачебной комиссии. Перечень указанных медицинских изделий, специализированных продуктов лечебного питания и порядок его формирования утверждаются Правительством Российской Федерации;</w:t>
      </w:r>
    </w:p>
    <w:p>
      <w:r>
        <w:t>2) использование при составлении описания объекта закупки показателей, требований, условных обозначений и терминологии, касающихся технических характеристик, функциональных характеристик (потребительских свойств) товара, работы, услуги и качественных характеристик объекта закупки, которые предусмотрены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Российской Федерации о стандартизации, иных требований, связанных с определением соответствия поставляемого товара, выполняемой работы, оказываемой услуги потребностям заказчика. Если заказчиком при составлении описания объекта закупки не используются установленные в соответствии с законодательством Российской Федерации о техническом регулировании, законодательством Российской Федерации о стандартизации показатели, требования, условные обозначения и терминология, в таком описании должно содержаться обоснование необходимости использования других показателей, требований, условных обозначений и терминологии.</w:t>
      </w:r>
    </w:p>
    <w:p>
      <w:r>
        <w:t>Частью 2 ст. 33 Закона о контрактной системе установлено, что документация о закупке в соответствии с требованиями, указанными в ч. 1 настоящей статьи, должна содержать показатели, позволяющие определить соответствие закупаемых товара, работы, услуги установленным заказчиком требованиям. При этом указываются максимальные и (или) минимальные значения таких показателей, а также значения показателей, которые не могут изменяться.</w:t>
      </w:r>
    </w:p>
    <w:p>
      <w:r>
        <w:t>Таким образом, по смыслу ст. 33 Закона о контрактной системе, при формировании Технического задания Заказчику в рамках Закона о контрактной системе предоставлены полномочия по самостоятельному определению размера лота, а также спецификации и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услуги именно с такими характеристиками, которые ему необходимы с другой стороны описание объекта закупки не должно необоснованно ограничивать количество участников закупки.</w:t>
      </w:r>
    </w:p>
    <w:p>
      <w:r>
        <w:t>В соответствии с ч. 2 ст. 19 Закона о контрактной системе, под требованиями к закупаемым заказчиком товарам, работам, услугам понимаются требования к количеству, потребительским свойствам (в том числе характеристикам качества) и иным характеристикам товаров, работ, услуг, позволяющие обеспечить государственные и муниципальные нужды, но не приводящие к закупкам товаров, работ, услуг, которые имеют избыточные потребительские свойства или являются предметами роскоши в соответствии с законодательством Российской Федерации.</w:t>
      </w:r>
    </w:p>
    <w:p>
      <w:r>
        <w:t>В силу ч. 3 ст. 33 Закона о контрактной системе, не допускается включение в описание объекта закупки (в том числе в форме требований к качеству, техническим характеристикам товара, работы или услуги, требований к функциональным характеристикам (потребительским свойствам) товара) требований к производителю товара, к участнику закупки (в том числе требования к квалификации участника закупки, включая наличие опыта работы), а также требования к деловой репутации участника закупки, требования к наличию у него производственных мощностей, технологического оборудования, трудовых, финансовых и других ресурсов, необходимых для производства товара, поставка которого является предметом контракта, для выполнения работы или оказания услуги, являющихся предметом контракта, за исключением случаев, если возможность установления таких требований к участнику закупки предусмотрена настоящим Федеральным законом.</w:t>
      </w:r>
    </w:p>
    <w:p>
      <w:r>
        <w:t>Таким образом, при формировании Технического задания Заказчику в рамках Закона о контрактной системе предоставлены полномочия по самостоятельному определению параметров и характеристик товара, в наибольшей степени удовлетворяющих его потребности. Однако из буквального толкования вышеприведенных положений Закона о контрактной системе следует, что заказчики, осуществляющие закупку по правилам данного Закона, при описании объекта закупки должны таким образом прописать требования к закупаемым товарам, работам, услугам, чтобы, с одной стороны, повысить шансы на приобретение товара именно с такими характеристиками, которые ему необходимы, а с другой стороны, не ограничить количество участников закупки.</w:t>
      </w:r>
    </w:p>
    <w:p>
      <w:r>
        <w:t>В техническом задании по ряду позиций установлены жёсткие фиксированные значения характеристик, изменение которых не допускается участниками закупки. В частности, в отношении позиции, касающейся катетеров баллонных с лекарственным покрытием, в том числе паклитакселем, установлены конкретные значения давления, диаметра и длины баллона, типа системы доставки (монорельсовая), а также обязательное наличие лекарственного покрытия паклитакселем. При этом допускаются только строго указанные значения параметров (например, длина баллона 12, 15, 20, 30 мм; давление разрыва — строго 12 или 14 атм и др.).</w:t>
      </w:r>
    </w:p>
    <w:p>
      <w:r>
        <w:t>Заявителем обоснованно указано, что совокупность данных параметров соответствует единственному зарегистрированному медицинскому изделию — катетеру баллонному AGENT производства Boston Scientific (РУ РЗН 2016/4207), и в подтверждение этого приведена сравнительная таблица технических характеристик аналогичных изделий других производителей. Ни одно из них не соответствует всем характеристикам одновременно: у одних — иное давление разрыва, у других — другие диапазоны размеров, третьи не содержат упомянутого покрытия или не имеют нужного сочетания длины и давления. Таким образом, в отношении данной позиции фактически установлен запрет на участие всех иных производителей, что прямо нарушает требования статьи 33 Закона о контрактной системе.</w:t>
      </w:r>
    </w:p>
    <w:p>
      <w:r>
        <w:t>Аналогичная ситуация установлена по другим позициям закупки, в том числе: по катетерам с заданной длиной (≥140 и ≤142 см), что исключает изделия длиной 143 см и более, несмотря на их широкое распространение; по проводниковым катетерам, где установлено требование о наличии рентгеноконтрастной метки строго на расстоянии 3 мм от кончика и дистального гибкого сегмента длиной не менее 15 мм — параметры, отсутствующие в регистрационных удостоверениях и эксплуатационных документах иных производителей; по позиции с жёсткостью кончика 3;2 без указания единиц измерения, что не только делает характеристику двусмысленной, но и исключает продукцию, в которой жёсткость указана в граммах или грамм-силах.</w:t>
      </w:r>
    </w:p>
    <w:p>
      <w:r>
        <w:t>Заявителем приведены скриншоты инструкций и регистрационных удостоверений, размещённых на официальном сайте Росздравнадзора, которые подтверждают, что приведённые в извещении характеристики отсутствуют в эксплуатационной документации иных изделий. Следовательно, подача заявки с соблюдением требований извещения объективно невозможна.</w:t>
      </w:r>
    </w:p>
    <w:p>
      <w:r>
        <w:t>Формально допускаемое наличие нескольких значений по отдельным параметрам (например, диапазоны длин или диаметров) не компенсирует тот факт, что совокупность характеристик установлена таким образом, что удовлетворяется исключительно одним изделием. В ряде случаев отсутствует даже возможность отклонения в пределах допусков или указания эквивалентного значения, поскольку характеристики прямо отмечены как «не подлежащие изменению участником».</w:t>
      </w:r>
    </w:p>
    <w:p>
      <w:r>
        <w:t>Особое внимание Комиссия УФАС обращает на то, что в соответствии с письмом ФАС России от 28.02.2025 № ДФ/18210/25, официальной и допустимой для проверки признаётся только информация, содержащаяся в регистрационных удостоверениях и эксплуатационной документации, размещённой на сайте Росздравнадзора. Письма производителей и данные из сети Интернет не могут быть признаны надлежащими доказательствами соответствия. Указанный подход подтверждён и ранее в ряде разъяснений ФАС России. Следовательно, в случае отсутствия характеристики в инструкции — участник не имеет законной возможности отразить её в заявке, даже если по факту она присутствует в изделии.</w:t>
      </w:r>
    </w:p>
    <w:p>
      <w:r>
        <w:t>Таким образом, установленные требования не только не соответствуют положениям статьи 33 Закона о контрактной системе, но и противоречат принципу обеспечения конкуренции, закреплённому в статье 8 указанного закона.</w:t>
      </w:r>
    </w:p>
    <w:p>
      <w:r>
        <w:t>Комиссия отмечает, что при рассмотрении жалобы заказчиком не были представлены доказательства, подтверждающие необходимость именно тех характеристик, которые были указаны в техническом задании.</w:t>
      </w:r>
    </w:p>
    <w:p>
      <w:r>
        <w:t>При этом, как усматривается из доводов Заявителя и не оспорено в ходе рассмотрения жалобы, на рынке представлены товары различных производителей, обладающие аналогичными, а в ряде случаев и более высокими функциональными свойствами, которые тем не менее не допускаются к участию в закупке только в силу искусственно узкой формулировки требований.</w:t>
      </w:r>
    </w:p>
    <w:p>
      <w:r>
        <w:t>Такая практика недопустима. В условиях конкурентной закупочной процедуры принцип достаточности и разумности технического задания предполагает, что Заказчик не просто вправе, а обязан формулировать характеристики с учетом возможности участия как можно более широкого круга лиц, при условии, что предлагаемый ими товар способен удовлетворить реальную потребность.</w:t>
      </w:r>
    </w:p>
    <w:p>
      <w:r>
        <w:t>Формирование требований, под которые не подпадает ни один товар, кроме одного — пусть даже ранее использовавшегося Заказчиком — при отсутствии клинического или технологического обоснования, является формальным злоупотреблением правом конкретизации, что противоречит духу и букве законодательства о контрактной системе.</w:t>
      </w:r>
    </w:p>
    <w:p>
      <w:r>
        <w:t>На основании совокупности вышеуказанных обстоятельств, анализа представленных доказательств, сопоставления параметров технического задания с данными эксплуатационной документации, размещённой на официальном сайте Росздравнадзора, Комиссия УФАС приходит к однозначному выводу о том, что в действиях Заказчика имеется нарушение п. 1 ч. 1 ст. 33 Закона о контрактной системе, выразившееся в установлении требований, ограничивающих количество участников закупки и нарушающих принципы конкурентности и объективности.</w:t>
      </w:r>
    </w:p>
    <w:p>
      <w:r>
        <w:t>Таким образом, Комиссия УФАС находит доводы Заявителя обоснованными.</w:t>
      </w:r>
    </w:p>
    <w:p>
      <w:r>
        <w:t>Обязательное для исполнения предписание об устранении выявленного нарушения законодательства о контрактной системе не выдавать в связи с ранее выданным предписанием.</w:t>
      </w:r>
    </w:p>
    <w:p>
      <w:r>
        <w:t>Комиссия УФАС, руководствуясь ст. 99, 106 Закона о контрактной системе,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ИП Замалиева А.И. обоснованной.</w:t>
      </w:r>
    </w:p>
    <w:p>
      <w:r>
        <w:t>Признать в действиях Заказчика нарушение п. 1 ч. 2 ст. 42 (п. 1 ч. 1 ст. 33) Закона о контрактной системе.</w:t>
      </w:r>
    </w:p>
    <w:p>
      <w:r>
        <w:t>Предписание об устранении выявленного нарушения не выдавать ввиду ранее выданного.</w:t>
      </w:r>
    </w:p>
    <w:p>
      <w:r>
        <w:t>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виновных лиц.</w:t>
      </w:r>
    </w:p>
    <w:p>
      <w:r>
        <w:t>Настоящее решение может быть обжаловано в судебном порядке в течение трёх месяцев со дня принятия.</w:t>
      </w:r>
    </w:p>
    <w:p>
      <w:r>
        <w:t>5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