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202500114959003904</w:t>
      </w:r>
    </w:p>
    <w:p>
      <w:r>
        <w:rPr>
          <w:b/>
        </w:rPr>
        <w:t xml:space="preserve">УФАС: </w:t>
      </w:r>
      <w:r>
        <w:t>УФАС по Санкт-Петербургу</w:t>
      </w:r>
    </w:p>
    <w:p>
      <w:r>
        <w:rPr>
          <w:b/>
        </w:rPr>
        <w:t xml:space="preserve">Дата решения: </w:t>
      </w:r>
      <w:r>
        <w:t>16.04.2025</w:t>
      </w:r>
    </w:p>
    <w:p>
      <w:r>
        <w:rPr>
          <w:b/>
        </w:rPr>
        <w:t xml:space="preserve">Исход: </w:t>
      </w:r>
      <w:r>
        <w:t>обоснована</w:t>
      </w:r>
    </w:p>
    <w:p>
      <w:r>
        <w:rPr>
          <w:b/>
        </w:rPr>
        <w:t xml:space="preserve">Закупка №: </w:t>
      </w:r>
      <w:r>
        <w:t>0172200003625000023</w:t>
      </w:r>
    </w:p>
    <w:p>
      <w:r>
        <w:rPr>
          <w:b/>
        </w:rPr>
        <w:t xml:space="preserve">Заказчик: </w:t>
      </w:r>
      <w:r>
        <w:t>Санкт-Петербургское государственное бюджетное учреждение здравоохранения «Женская консультация № 18»</w:t>
      </w:r>
    </w:p>
    <w:p>
      <w:r>
        <w:rPr>
          <w:b/>
        </w:rPr>
        <w:t xml:space="preserve">Заявитель: </w:t>
      </w:r>
      <w:r>
        <w:t>ООО «Брокер групп»</w:t>
      </w:r>
    </w:p>
    <w:p>
      <w:r>
        <w:rPr>
          <w:b/>
        </w:rPr>
        <w:t xml:space="preserve">Первоисточник в ЕИС: </w:t>
      </w:r>
      <w:r>
        <w:t>https://zakupki.gov.ru/epz/complaint/card/complaint-information.html?complaintNumber=202500114959003904</w:t>
      </w:r>
    </w:p>
    <w:p/>
    <w:p>
      <w:pPr>
        <w:pStyle w:val="Heading1"/>
      </w:pPr>
      <w:r>
        <w:t>Решение</w:t>
      </w:r>
    </w:p>
    <w:p>
      <w:pPr>
        <w:pStyle w:val="Heading2"/>
      </w:pPr>
      <w:r>
        <w:t>вводная часть</w:t>
      </w:r>
    </w:p>
    <w:p>
      <w:r>
        <w:t>Администрация Адмиралтейского района Санкт-Петербурга</w:t>
      </w:r>
    </w:p>
    <w:p>
      <w:r>
        <w:t>пр-кт Измайловский, д. 10,</w:t>
      </w:r>
    </w:p>
    <w:p>
      <w:r>
        <w:t>Санкт-Петербург, 190005</w:t>
      </w:r>
    </w:p>
    <w:p>
      <w:r>
        <w:t>эл. почта: gz6@tuadm.gov.spb.ru</w:t>
      </w:r>
    </w:p>
    <w:p>
      <w:r>
        <w:t>ООО «РТС-тендер»</w:t>
      </w:r>
    </w:p>
    <w:p>
      <w:r>
        <w:t>наб. Тараса Шевченко, д. 23А,</w:t>
      </w:r>
    </w:p>
    <w:p>
      <w:r>
        <w:t>Москва, 121151</w:t>
      </w:r>
    </w:p>
    <w:p>
      <w:r>
        <w:t>факс: +7 (495) 733-95-19</w:t>
      </w:r>
    </w:p>
    <w:p>
      <w:r>
        <w:t>ООО «БРОКЕР ГРУПП»</w:t>
      </w:r>
    </w:p>
    <w:p>
      <w:r>
        <w:t>ул. Пензенская, д. 57, кв. 2,</w:t>
      </w:r>
    </w:p>
    <w:p>
      <w:r>
        <w:t>Пермь, 614042</w:t>
      </w:r>
    </w:p>
    <w:p>
      <w:r>
        <w:t>эл. почта: ooo.tender.broker77@gmail.com</w:t>
      </w:r>
    </w:p>
    <w:p>
      <w:r>
        <w:t>РЕШЕНИЕ</w:t>
      </w:r>
    </w:p>
    <w:p>
      <w:r>
        <w:t>по делу № 44-865/25</w:t>
      </w:r>
    </w:p>
    <w:p>
      <w:r>
        <w:t>о нарушении законодательства о контрактной системе</w:t>
      </w:r>
    </w:p>
    <w:p>
      <w:r>
        <w:t>16.04.2025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Администрация Адмиралтейского района Санкт-Петербурга (далее – Уполномоченный орган);</w:t>
      </w:r>
    </w:p>
    <w:p>
      <w:r>
        <w:t>в отсутствие представителей:</w:t>
      </w:r>
    </w:p>
    <w:p>
      <w:r>
        <w:t>Санкт-Петербургское государственное бюджетное учреждение здравоохранения «Женская консультация № 18» (далее – Заказчик при надлежащем уведомлении о месте и времени заседания комиссии УФАС;</w:t>
      </w:r>
    </w:p>
    <w:p>
      <w:r>
        <w:t>ООО «БРОКЕР ГРУПП» (далее – Заявитель) при надлежащем уведомлении о месте и времени заседания комиссии УФАС;</w:t>
      </w:r>
    </w:p>
    <w:p>
      <w:pPr>
        <w:pStyle w:val="Heading2"/>
      </w:pPr>
      <w:r>
        <w:t>описательная часть</w:t>
      </w:r>
    </w:p>
    <w:p>
      <w:r>
        <w:t>рассмотрев жалобу Заявителя (вх. № 8415/25 от 11.04.2025) на действия Администрации Адмиралтейского района Санкт-Петербурга (Уполномоченный орган) при определении (подрядчика, исполнителя) путем проведения открытого конкурса в электронной форме на выполнение работ по капитальному ремонту ИТП и УУТЭ в здании по адресу: Санкт-Петербург, наб. реки Фонтанки, д. 155, лит. А (извещение № 0172200003625000023)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26.03.2025 на Официальном сайте Единой информационной системы в сфере закупок www.zakupki.gov.ru (далее – ЕИС), номер извещения 0172200003625000023.</w:t>
      </w:r>
    </w:p>
    <w:p>
      <w:r>
        <w:t>Начальная (максимальная) цена контракта – 9 252 454,09 руб.</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Заказчик с доводами жалобы не согласен и считает ее необоснованной.</w:t>
      </w:r>
    </w:p>
    <w:p>
      <w:r>
        <w:t>Информация, изложенная в жалобе, пояснения представителей стороны Заказчика,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Согласно ч. 3 ст. 31 Закона о контрактной системе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w:t>
      </w:r>
    </w:p>
    <w:p>
      <w:r>
        <w:t>Согласно ч. 4 ст. 31 Закона о контрактной системе в случае установления Правительством Российской Федерации в соответствии с частью 2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Правительством РФ принято Постановление от 29.12.2021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 которое устанавливает,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настоящему постановлению.</w:t>
      </w:r>
    </w:p>
    <w:p>
      <w:r>
        <w:t>Пунктом 1 Постановления № 2571 установлено,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настоящему постановлению.</w:t>
      </w:r>
    </w:p>
    <w:p>
      <w:r>
        <w:t>Пунктом 2 Постановления № 2571 утвержден прилагаемый перечень утративших силу актов и отдельных положений актов Правительства Российской Федерации.</w:t>
      </w:r>
    </w:p>
    <w:p>
      <w:r>
        <w:t>Пунктом 2 Постановления № 2571 установлено, в том числе, что:</w:t>
      </w:r>
    </w:p>
    <w:p>
      <w:r>
        <w:t>а) положения настоящего постановления применяются при проведении конкурентных способов определения поставщиков (подрядчиков, исполнителей), при этом:</w:t>
      </w:r>
    </w:p>
    <w:p>
      <w:r>
        <w:t>позиция приложения к настоящему постановлению (далее - приложение) применяется с учетом положений настоящего пункта в случае, если объект закупки включает один или несколько закупаемых товаров, работ, услуг, указанных в приложении в соответствующей позиции графы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w:t>
      </w:r>
    </w:p>
    <w:p>
      <w:r>
        <w:t>позиции 1 - 5, 16, 22 и 41 приложения применяются в случае, если при осуществлении закупки начальная (максимальная) цена контракта превышает 500 тыс. рублей;</w:t>
      </w:r>
    </w:p>
    <w:p>
      <w:r>
        <w:t>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позиции 14, 15 и 36 приложения применяются в случае, если при осуществлении закупки начальная (максимальная) цена контракта превышает 1 млн. рублей;</w:t>
      </w:r>
    </w:p>
    <w:p>
      <w:r>
        <w:t>позиция 23 приложения применяется в случае, если при осуществлении закупки начальная (максимальная) цена контракта превышает 50 млн. рублей;</w:t>
      </w:r>
    </w:p>
    <w:p>
      <w:r>
        <w:t>позиция 32 приложения применяется в случае, если при осуществлении закупки начальная (максимальная) цена контракта превышает 10 млн. рублей;</w:t>
      </w:r>
    </w:p>
    <w:p>
      <w:r>
        <w:t>позиции 24 - 31 и 33 - 35 приложения могут не применяться в случае, если при осуществлении закупки начальная (максимальная) цена контракта не превышает 500 тыс. рублей;</w:t>
      </w:r>
    </w:p>
    <w:p>
      <w:r>
        <w:t>позиция 38 приложения применяется в случае, если при осуществлении закупки начальная (максимальная) цена контракта превышает 20 млн. рублей;</w:t>
      </w:r>
    </w:p>
    <w:p>
      <w:r>
        <w:t>позиции 39 и 40 приложения применяются в случае, если при осуществлении закупки начальная (максимальная) цена контракта превышает 100 млн. рублей;</w:t>
      </w:r>
    </w:p>
    <w:p>
      <w:r>
        <w:t>Приложение к Постановлению № 2571 содержит, в том числе:</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закупок таким дополнительным требованиям</w:t>
            </w:r>
          </w:p>
        </w:tc>
        <w:tc>
          <w:tcPr>
            <w:tcW w:type="dxa" w:w="2160"/>
          </w:tcPr>
          <w:p/>
        </w:tc>
        <w:tc>
          <w:tcPr>
            <w:tcW w:type="dxa" w:w="2160"/>
          </w:tcPr>
          <w:p/>
        </w:tc>
        <w:tc>
          <w:tcPr>
            <w:tcW w:type="dxa" w:w="2160"/>
          </w:tcPr>
          <w:p/>
        </w:tc>
      </w:tr>
      <w:tr>
        <w:tc>
          <w:tcPr>
            <w:tcW w:type="dxa" w:w="2160"/>
          </w:tcPr>
          <w:p>
            <w:r>
              <w:t>10.</w:t>
            </w:r>
          </w:p>
        </w:tc>
        <w:tc>
          <w:tcPr>
            <w:tcW w:type="dxa" w:w="2160"/>
          </w:tcPr>
          <w:p>
            <w:r>
              <w:t>Работы по капитальному ремонту объекта капитального строительства (за исключением линейного объекта)</w:t>
            </w:r>
          </w:p>
        </w:tc>
        <w:tc>
          <w:tcPr>
            <w:tcW w:type="dxa" w:w="2160"/>
          </w:tcPr>
          <w:p>
            <w:r>
              <w:t>наличие у участника закупки одного из следующих видов опыта выполнения работ:</w:t>
              <w:br/>
              <w:t>1) опыт исполнения договора, предусматривающего выполнение работ по капитальному ремонту объекта капитального строительства</w:t>
              <w:br/>
              <w:t>(за исключением линейного объекта);</w:t>
              <w:b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w:t>
              <w:br/>
              <w:t>(за исключением линейного объекта);</w:t>
              <w:b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b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type="dxa" w:w="2160"/>
          </w:tcPr>
          <w:p>
            <w:r>
              <w:t>в случае наличия опыта, предусмотренного пунктом 1 графы 3 настоящей позиции:</w:t>
              <w:br/>
              <w:t>1) исполненный договор;</w:t>
              <w:br/>
              <w:t>2) акт выполненных работ, подтверждающий цену выполненных работ.</w:t>
              <w:br/>
              <w:t>В случае наличия опыта, предусмотренного пунктом 2 графы "Дополнительные требования к участникам закупки" настоящей позиции:</w:t>
              <w:br/>
              <w:t>1) исполненный договор;</w:t>
              <w:b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b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br/>
              <w:t>В случае наличия опыта, предусмотренного пунктом 3 графы "Дополнительные требования к участникам закупки" настоящей позиции:</w:t>
              <w:br/>
              <w:t>1) раздел "Смета на строительство, реконструкцию, капитальный ремонт, снос объекта капитального строительства" проектной документации;</w:t>
              <w:br/>
              <w:t>2) разрешение на ввод объекта капитального строительства в эксплуатацию</w:t>
            </w:r>
          </w:p>
        </w:tc>
      </w:tr>
    </w:tbl>
    <w:p>
      <w:r>
        <w:t>Объектом закупки является выполнение работ по капитальному ремонту.</w:t>
      </w:r>
    </w:p>
    <w:p>
      <w:r>
        <w:t>Согласно ч. 3 ст. 7 Закона о контрактной системе, информация, предусмотренная настоящим Федеральным законом и размещенная в единой информационной системе, должна быть полной и достоверной.</w:t>
      </w:r>
    </w:p>
    <w:p>
      <w:r>
        <w:t>Так, Комиссия УФАС отмечает, что Заказчиком в извещении не установлены указанные дополнительные требования, при этом, данные требования установлены в приложении к извещению.</w:t>
      </w:r>
    </w:p>
    <w:p>
      <w:r>
        <w:t>Следовательно, при отсутствии необходимых дополнительных требований к участникам закупки, Заказчик нарушает положения Закона о контрактной системе.</w:t>
      </w:r>
    </w:p>
    <w:p>
      <w:r>
        <w:t>Таким образом Комиссия УФАС находит признаки нарушения Заказчиком ч. 3 ст. 7, ч. 4 ст. 31 Закона о контрактной системе.</w:t>
      </w:r>
    </w:p>
    <w:p>
      <w:r>
        <w:t>Комиссия УФАС отмечает, что в материалах дела отсутствует информация, которая позволила бы сделать вывод о том, что выявленное нарушение не повлияло на итоги процедуры.</w:t>
      </w:r>
    </w:p>
    <w:p>
      <w:pPr>
        <w:pStyle w:val="Heading2"/>
      </w:pPr>
      <w:r>
        <w:t>мотивировочная часть</w:t>
      </w:r>
    </w:p>
    <w:p>
      <w:r>
        <w:t>Комиссия УФАС, руководствуясь ст. 8, 31, 33, 99, 105, 106 Закона о контрактной системе,</w:t>
      </w:r>
    </w:p>
    <w:p>
      <w:pPr>
        <w:pStyle w:val="Heading2"/>
      </w:pPr>
      <w:r>
        <w:t>резолютивная часть</w:t>
      </w:r>
    </w:p>
    <w:p>
      <w:r>
        <w:t>РЕШИЛА:</w:t>
      </w:r>
    </w:p>
    <w:p>
      <w:r>
        <w:t>1. Признать жалобу ООО «БРОКЕР ГРУПП» обоснованной.</w:t>
      </w:r>
    </w:p>
    <w:p>
      <w:r>
        <w:t>2. Признать в действиях Заказчика нарушения ч. 3 ст. 7, ч. 4 ст. 31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Администрация Адмиралтейского района Санкт-Петербурга</w:t>
      </w:r>
    </w:p>
    <w:p>
      <w:r>
        <w:t>пр-кт Измайловский, д. 10,</w:t>
      </w:r>
    </w:p>
    <w:p>
      <w:r>
        <w:t>Санкт-Петербург, 190005</w:t>
      </w:r>
    </w:p>
    <w:p>
      <w:r>
        <w:t>эл. почта: gz6@tuadm.gov.spb.ru</w:t>
      </w:r>
    </w:p>
    <w:p>
      <w:r>
        <w:t>ООО «РТС-тендер»</w:t>
      </w:r>
    </w:p>
    <w:p>
      <w:r>
        <w:t>наб. Тараса Шевченко, д. 23А,</w:t>
      </w:r>
    </w:p>
    <w:p>
      <w:r>
        <w:t>Москва, 121151</w:t>
      </w:r>
    </w:p>
    <w:p>
      <w:r>
        <w:t>факс: +7 (495) 733-95-19</w:t>
      </w:r>
    </w:p>
    <w:p>
      <w:r>
        <w:t>ООО «БРОКЕР ГРУПП»</w:t>
      </w:r>
    </w:p>
    <w:p>
      <w:r>
        <w:t>ул. Пензенская, д. 57, кв. 2,</w:t>
      </w:r>
    </w:p>
    <w:p>
      <w:r>
        <w:t>Пермь, 614042</w:t>
      </w:r>
    </w:p>
    <w:p>
      <w:r>
        <w:t>эл. почта: ooo.tender.broker77@gmail.com</w:t>
      </w:r>
    </w:p>
    <w:p>
      <w:r>
        <w:t>ПРЕДПИСАНИЕ</w:t>
      </w:r>
    </w:p>
    <w:p>
      <w:r>
        <w:t>об устранении нарушений законодательства о закупках</w:t>
      </w:r>
    </w:p>
    <w:p>
      <w:r>
        <w:t>по делу № 44-865/25</w:t>
      </w:r>
    </w:p>
    <w:p>
      <w:r>
        <w:t>16.04.2025 Санкт-Петербург</w:t>
      </w:r>
    </w:p>
    <w:p>
      <w:r>
        <w:t>Комиссия Санкт-Петербургского УФАС России по контролю в сфере закупок (далее – Комиссия УФАС)</w:t>
      </w:r>
    </w:p>
    <w:p>
      <w:r>
        <w:t>на основании своего решения по делу № 44-865/25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Уполномоченному органу – Администрация Адмиралтейского района Санкт-Петербурга, Заказчику – Санкт-Петербургское государственное бюджетное учреждение здравоохранения «Женская консультация № 18», комиссии по осуществлению закупок устранить нарушения ч. 3 ст. 7, ч. 4 ст. 31 Закона о контрактной системе и с этой целью:</w:t>
      </w:r>
    </w:p>
    <w:p>
      <w:r>
        <w:t>- в 14-дневный срок со дня размещения настоящего предписания на официальном сайте отменить все протоколы, составленные в ходе размещения заказа с номером извещения 0172200003625000023;</w:t>
      </w:r>
    </w:p>
    <w:p>
      <w:r>
        <w:t>- внести изменения в извещение о конкурсе, приведя его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конкурсе с номером извещения 0172200003625000023 в соответствии с требованиями законодательства о контрактной системе;</w:t>
      </w:r>
    </w:p>
    <w:p>
      <w:r>
        <w:t>- завершить процедуру закупки с номером извещения № 0172200003625000023 в соответствии с законодательством о контрактной системе.</w:t>
      </w:r>
    </w:p>
    <w:p>
      <w:r>
        <w:t>2. Заказчику, комиссии по осуществлению закупок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25.05.2025.</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