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202500114959004322</w:t>
      </w:r>
    </w:p>
    <w:p>
      <w:r>
        <w:rPr>
          <w:b/>
        </w:rPr>
        <w:t xml:space="preserve">УФАС: </w:t>
      </w:r>
      <w:r>
        <w:t>УФАС по Санкт-Петербургу</w:t>
      </w:r>
    </w:p>
    <w:p>
      <w:r>
        <w:rPr>
          <w:b/>
        </w:rPr>
        <w:t xml:space="preserve">Дата решения: </w:t>
      </w:r>
      <w:r>
        <w:t>25.04.2025</w:t>
      </w:r>
    </w:p>
    <w:p>
      <w:r>
        <w:rPr>
          <w:b/>
        </w:rPr>
        <w:t xml:space="preserve">Исход: </w:t>
      </w:r>
      <w:r>
        <w:t>обоснована</w:t>
      </w:r>
    </w:p>
    <w:p>
      <w:r>
        <w:rPr>
          <w:b/>
        </w:rPr>
        <w:t xml:space="preserve">Закупка №: </w:t>
      </w:r>
      <w:r>
        <w:t>0372200163625000001</w:t>
      </w:r>
    </w:p>
    <w:p>
      <w:r>
        <w:rPr>
          <w:b/>
        </w:rPr>
        <w:t xml:space="preserve">Заказчик: </w:t>
      </w:r>
      <w:r>
        <w:t>Государственное бюджетное общеобразовательное учреждение средняя общеобразовательная школа № 60 Выборгского района Санкт-Петербурга</w:t>
      </w:r>
    </w:p>
    <w:p>
      <w:r>
        <w:rPr>
          <w:b/>
        </w:rPr>
        <w:t xml:space="preserve">Заявитель: </w:t>
      </w:r>
      <w:r>
        <w:t>ООО «Бастион »</w:t>
      </w:r>
    </w:p>
    <w:p>
      <w:r>
        <w:rPr>
          <w:b/>
        </w:rPr>
        <w:t xml:space="preserve">Первоисточник в ЕИС: </w:t>
      </w:r>
      <w:r>
        <w:t>https://zakupki.gov.ru/epz/complaint/card/complaint-information.html?complaintNumber=202500114959004322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СОШ № 60 Выборгского района</w:t>
              <w:br/>
              <w:t>Санкт-Петербурга</w:t>
              <w:br/>
              <w:t>пр-кт Художников, д. 9, корпус 3,</w:t>
              <w:br/>
              <w:t>Санкт-Петербург, 194295</w:t>
              <w:br/>
              <w:t>эл. почта: melnikova@vybobr.ru</w:t>
              <w:br/>
              <w:t>ООО «РТС-тендер»</w:t>
              <w:br/>
              <w:t>наб. Тараса Шевченко, д. 23А,</w:t>
              <w:br/>
              <w:t>Москва, 121151</w:t>
              <w:br/>
              <w:t>факс: +7 (495) 733-95-19</w:t>
              <w:br/>
              <w:t>ООО «Бастион»</w:t>
              <w:br/>
              <w:t>ш. Фермское, д. 20, к. 2, лит. А, помещ. 6-Н, офис 1-5,</w:t>
              <w:br/>
              <w:t>Санкт-Петербург, 197341</w:t>
              <w:br/>
              <w:t>эл. почта: bastion-spb@rambler.ru</w:t>
            </w:r>
          </w:p>
        </w:tc>
      </w:tr>
    </w:tbl>
    <w:p>
      <w:r>
        <w:t>РЕШЕНИЕ</w:t>
      </w:r>
    </w:p>
    <w:p>
      <w:r>
        <w:t>по делу № 44-970/25</w:t>
      </w:r>
    </w:p>
    <w:p>
      <w:r>
        <w:t>о нарушении законодательства о контрактной системе</w:t>
      </w:r>
    </w:p>
    <w:p>
      <w:r>
        <w:t>25.04.2025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ГБОУ СОШ № 60 Выборгского района Санкт-Петербурга (далее – Заказчик):;</w:t>
      </w:r>
    </w:p>
    <w:p>
      <w:r>
        <w:t>ООО «Бастион» (далее – Заявитель):,</w:t>
      </w:r>
    </w:p>
    <w:p>
      <w:pPr>
        <w:pStyle w:val="Heading2"/>
      </w:pPr>
      <w:r>
        <w:t>описательная часть</w:t>
      </w:r>
    </w:p>
    <w:p>
      <w:r>
        <w:t>рассмотрев посредством системы видеоконференцсвязи жалобу Заявителя (вх. № 9474/25 от 22.04.2025) на действия ГБОУ СОШ № 60 Выборгского района Санкт-Петербурга (Заказчик) при определении (подрядчика, исполнителя) путем проведения открытого конкурса в электронной форме на выполнение работ по ремонту спортивного зала (Пом. №59) в здании ГБОУ СОШ № 60 Выборгского района Санкт-Петербурга по адресу: Санкт-Петербург, пр. Художников, д. 9, корпус 3, литер А (извещение № 0372200163625000001)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26.03.2025 на Официальном сайте Единой информационной системы в сфере закупок www.zakupki.gov.ru, номер извещения 0372200163625000001.</w:t>
      </w:r>
    </w:p>
    <w:p>
      <w:r>
        <w:t>Начальная (максимальная) цена контракта – 2 987 374, 88 рубля.</w:t>
      </w:r>
    </w:p>
    <w:p>
      <w:r>
        <w:t>В жалобе Заявитель указал на неправомерные действия комиссии по осуществлению закупок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Постановления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членов.2604</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соответствии с п.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 об осуществлении закупки содержит следующие положения:</w:t>
      </w:r>
    </w:p>
    <w:p>
      <w:r>
        <w:t>«Для оценки по характеристике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2) документы, подтверждающие наличие у участника закупки опыта выполнения работы, связанного с предметом контракта: справка о стоимости выполненных работ и затрат, акт сдачи объекта в эксплуатацию (при наличии), а также исполненный (-ые) договор (-ы), акт (-ы) приемки выполненных работ, составленные при исполнении такого договора (-ов) и иные документы, составленные при исполнении такого договора.</w:t>
      </w:r>
    </w:p>
    <w:p>
      <w:r>
        <w:t>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r>
    </w:p>
    <w:p>
      <w:r>
        <w:t>Документы, предусмотренные настоящим пунктом, а также документы, составленные в рамках исполнения контракта (договора) и не предусмотренные настоящим пунктом, должны быть представлены в полном объеме и со всеми приложениями.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в форме электронных документов или в форме электронных образов бумажных документов.</w:t>
      </w:r>
    </w:p>
    <w:p>
      <w:r>
        <w:t>По характеристике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r>
        <w:t>По характеристике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Договор, по которому в составе заявки не представлены все указанные выше документы (копии), а также не представлены все документы, составленные в рамках исполнения контракта (договора), при определении количества баллов по характеристике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не учитывается.</w:t>
      </w:r>
    </w:p>
    <w:p>
      <w:r>
        <w:t>В рамках характеристики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 в случае предоставления неполного комплекта документов по контракту (договору), комиссия не учитывает такой контракт (договор).</w:t>
      </w:r>
    </w:p>
    <w:p>
      <w:r>
        <w:t>Заявка (равно как и все относящиеся к ней и являющиеся её частью документы) должна быть четко напечатана (разборчиво написана), не допускаются подчистки и исправления, за исключением, если они не подписаны уполномоченным лицом и не скреплены печатью (в случае наличия), все документы должны быть представлены в полном объеме, читаемы.</w:t>
      </w:r>
    </w:p>
    <w:p>
      <w:r>
        <w:t>Для Заказчика лучшим является наибольшее значение характеристики квалификации участников закупки №2 (общее количество исполненных участником закупки договоров) показателя «наличие у участников закупки опыта работы, связанного с предметом контракта».</w:t>
      </w:r>
    </w:p>
    <w:p>
      <w:r>
        <w:t>Значение количества баллов по характеристике квалификации участников закупки №2 показателя «наличие у участников закупки опыта работы, связанного с предметом контракта» (БХi)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r>
    </w:p>
    <w:p>
      <w:r>
        <w:t>где:</w:t>
      </w:r>
    </w:p>
    <w:p>
      <w:r>
        <w:t>Хi - значение,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w:t>
      </w:r>
    </w:p>
    <w:p>
      <w:r>
        <w:t>Хmin - минимальное значение характеристики объекта закупки №2,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
        <w:t>Хmax - максимальное значение характеристики объекта закупки №2, содержащееся в заявках (частях заявок), подлежащих в соответствии с Федеральным законом № 44-ФЗ оценке по критерию оценки «характеристики объекта закупки»</w:t>
      </w:r>
    </w:p>
    <w:p>
      <w:r>
        <w:t>Под значением характеристики объекта закупки №2 понимается общее количество исполненных участником закупки договоров, соответствующих требованиям, установленным в настоящем пункте.</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Частью 11 ст.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Анализ протокола рассмотрения и оценки вторых частей заявок на участие в открытом конкурсе в электронной форме от 15.04.2025 №ПРОII1 показал, что в нём содержится следующая информация об оценке заявки участника:</w:t>
      </w:r>
    </w:p>
    <w:tbl>
      <w:tblPr>
        <w:tblStyle w:val="TableGrid"/>
        <w:tblW w:type="auto" w:w="0"/>
        <w:tblLook w:firstColumn="1" w:firstRow="1" w:lastColumn="0" w:lastRow="0" w:noHBand="0" w:noVBand="1" w:val="04A0"/>
      </w:tblPr>
      <w:tblGrid>
        <w:gridCol w:w="2880"/>
        <w:gridCol w:w="2880"/>
        <w:gridCol w:w="2880"/>
      </w:tblGrid>
      <w:tr>
        <w:tc>
          <w:tcPr>
            <w:tcW w:type="dxa" w:w="2880"/>
          </w:tcPr>
          <w:p>
            <w:r>
              <w:t>118629886</w:t>
            </w:r>
          </w:p>
        </w:tc>
        <w:tc>
          <w:tcPr>
            <w:tcW w:type="dxa" w:w="2880"/>
          </w:tcPr>
          <w:p>
            <w:r>
              <w:t>Соответствует требованиям</w:t>
            </w:r>
          </w:p>
        </w:tc>
        <w:tc>
          <w:tcPr>
            <w:tcW w:type="dxa" w:w="2880"/>
          </w:tcPr>
          <w:p>
            <w:r>
              <w:t>96,51</w:t>
            </w:r>
          </w:p>
        </w:tc>
      </w:tr>
      <w:tr>
        <w:tc>
          <w:tcPr>
            <w:tcW w:type="dxa" w:w="2880"/>
          </w:tcPr>
          <w:p>
            <w:r/>
          </w:p>
        </w:tc>
        <w:tc>
          <w:tcPr>
            <w:tcW w:type="dxa" w:w="2880"/>
          </w:tcPr>
          <w:p>
            <w:r>
              <w:t>Соответствует требованиям</w:t>
            </w:r>
          </w:p>
        </w:tc>
        <w:tc>
          <w:tcPr>
            <w:tcW w:type="dxa" w:w="2880"/>
          </w:tcPr>
          <w:p>
            <w:r>
              <w:t>96,51</w:t>
            </w:r>
          </w:p>
        </w:tc>
      </w:tr>
      <w:tr>
        <w:tc>
          <w:tcPr>
            <w:tcW w:type="dxa" w:w="2880"/>
          </w:tcPr>
          <w:p>
            <w:r/>
          </w:p>
        </w:tc>
        <w:tc>
          <w:tcPr>
            <w:tcW w:type="dxa" w:w="2880"/>
          </w:tcPr>
          <w:p>
            <w:r>
              <w:t>Соответствует требованиям</w:t>
            </w:r>
          </w:p>
        </w:tc>
        <w:tc>
          <w:tcPr>
            <w:tcW w:type="dxa" w:w="2880"/>
          </w:tcPr>
          <w:p>
            <w:r>
              <w:t>96,51</w:t>
            </w:r>
          </w:p>
        </w:tc>
      </w:tr>
      <w:tr>
        <w:tc>
          <w:tcPr>
            <w:tcW w:type="dxa" w:w="2880"/>
          </w:tcPr>
          <w:p>
            <w:r/>
          </w:p>
        </w:tc>
        <w:tc>
          <w:tcPr>
            <w:tcW w:type="dxa" w:w="2880"/>
          </w:tcPr>
          <w:p>
            <w:r>
              <w:t>Соответствует требованиям</w:t>
            </w:r>
          </w:p>
        </w:tc>
        <w:tc>
          <w:tcPr>
            <w:tcW w:type="dxa" w:w="2880"/>
          </w:tcPr>
          <w:p>
            <w:r>
              <w:t>96,51</w:t>
            </w:r>
          </w:p>
        </w:tc>
      </w:tr>
      <w:tr>
        <w:tc>
          <w:tcPr>
            <w:tcW w:type="dxa" w:w="2880"/>
          </w:tcPr>
          <w:p>
            <w:r/>
          </w:p>
        </w:tc>
        <w:tc>
          <w:tcPr>
            <w:tcW w:type="dxa" w:w="2880"/>
          </w:tcPr>
          <w:p>
            <w:r>
              <w:t>Соответствует требованиям</w:t>
            </w:r>
          </w:p>
        </w:tc>
        <w:tc>
          <w:tcPr>
            <w:tcW w:type="dxa" w:w="2880"/>
          </w:tcPr>
          <w:p>
            <w:r>
              <w:t>96,51</w:t>
            </w:r>
          </w:p>
        </w:tc>
      </w:tr>
    </w:tbl>
    <w:p>
      <w:r>
        <w:t>В соответствии с ч. 1 ст. 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
        <w:t>В соответствии с представленными возражениями Заказчика, при публикации протокола рассмотрения и оценки вторых частей заявок была допущена техническая ошибка.</w:t>
      </w:r>
    </w:p>
    <w:p>
      <w:r>
        <w:t>Таким образом, участники получили следующее итоговое количество баллов по всем критериям оценки:</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Номер заявки</w:t>
            </w:r>
          </w:p>
        </w:tc>
        <w:tc>
          <w:tcPr>
            <w:tcW w:type="dxa" w:w="2160"/>
          </w:tcPr>
          <w:p>
            <w:r>
              <w:t>Предложенная цена</w:t>
            </w:r>
          </w:p>
        </w:tc>
        <w:tc>
          <w:tcPr>
            <w:tcW w:type="dxa" w:w="2160"/>
          </w:tcPr>
          <w:p>
            <w:r>
              <w:t>Баллы без учета коэффициента</w:t>
            </w:r>
          </w:p>
        </w:tc>
        <w:tc>
          <w:tcPr>
            <w:tcW w:type="dxa" w:w="2160"/>
          </w:tcPr>
          <w:p>
            <w:r>
              <w:t>Баллы с учетом коэффициента</w:t>
            </w:r>
          </w:p>
        </w:tc>
      </w:tr>
      <w:tr>
        <w:tc>
          <w:tcPr>
            <w:tcW w:type="dxa" w:w="2160"/>
          </w:tcPr>
          <w:p>
            <w:r/>
          </w:p>
        </w:tc>
        <w:tc>
          <w:tcPr>
            <w:tcW w:type="dxa" w:w="2160"/>
          </w:tcPr>
          <w:p>
            <w:r/>
          </w:p>
        </w:tc>
        <w:tc>
          <w:tcPr>
            <w:tcW w:type="dxa" w:w="2160"/>
          </w:tcPr>
          <w:p>
            <w:r>
              <w:t>значимости</w:t>
            </w:r>
          </w:p>
        </w:tc>
        <w:tc>
          <w:tcPr>
            <w:tcW w:type="dxa" w:w="2160"/>
          </w:tcPr>
          <w:p>
            <w:r>
              <w:t>значимости 0,6</w:t>
            </w:r>
          </w:p>
        </w:tc>
      </w:tr>
      <w:tr>
        <w:tc>
          <w:tcPr>
            <w:tcW w:type="dxa" w:w="2160"/>
          </w:tcPr>
          <w:p>
            <w:r>
              <w:t>886</w:t>
            </w:r>
          </w:p>
        </w:tc>
        <w:tc>
          <w:tcPr>
            <w:tcW w:type="dxa" w:w="2160"/>
          </w:tcPr>
          <w:p>
            <w:r>
              <w:t>2 808 132,39</w:t>
            </w:r>
          </w:p>
        </w:tc>
        <w:tc>
          <w:tcPr>
            <w:tcW w:type="dxa" w:w="2160"/>
          </w:tcPr>
          <w:p>
            <w:r>
              <w:t>82,50</w:t>
            </w:r>
          </w:p>
        </w:tc>
        <w:tc>
          <w:tcPr>
            <w:tcW w:type="dxa" w:w="2160"/>
          </w:tcPr>
          <w:p>
            <w:r>
              <w:t>49,50</w:t>
            </w:r>
          </w:p>
        </w:tc>
      </w:tr>
      <w:tr>
        <w:tc>
          <w:tcPr>
            <w:tcW w:type="dxa" w:w="2160"/>
          </w:tcPr>
          <w:p>
            <w:r>
              <w:t>989</w:t>
            </w:r>
          </w:p>
        </w:tc>
        <w:tc>
          <w:tcPr>
            <w:tcW w:type="dxa" w:w="2160"/>
          </w:tcPr>
          <w:p>
            <w:r>
              <w:t>2 800 000,00</w:t>
            </w:r>
          </w:p>
        </w:tc>
        <w:tc>
          <w:tcPr>
            <w:tcW w:type="dxa" w:w="2160"/>
          </w:tcPr>
          <w:p>
            <w:r>
              <w:t>82,84</w:t>
            </w:r>
          </w:p>
        </w:tc>
        <w:tc>
          <w:tcPr>
            <w:tcW w:type="dxa" w:w="2160"/>
          </w:tcPr>
          <w:p>
            <w:r>
              <w:t>49,70</w:t>
            </w:r>
          </w:p>
        </w:tc>
      </w:tr>
      <w:tr>
        <w:tc>
          <w:tcPr>
            <w:tcW w:type="dxa" w:w="2160"/>
          </w:tcPr>
          <w:p>
            <w:r>
              <w:t>457</w:t>
            </w:r>
          </w:p>
        </w:tc>
        <w:tc>
          <w:tcPr>
            <w:tcW w:type="dxa" w:w="2160"/>
          </w:tcPr>
          <w:p>
            <w:r>
              <w:t>2 389 899,90</w:t>
            </w:r>
          </w:p>
        </w:tc>
        <w:tc>
          <w:tcPr>
            <w:tcW w:type="dxa" w:w="2160"/>
          </w:tcPr>
          <w:p>
            <w:r>
              <w:t>100</w:t>
            </w:r>
          </w:p>
        </w:tc>
        <w:tc>
          <w:tcPr>
            <w:tcW w:type="dxa" w:w="2160"/>
          </w:tcPr>
          <w:p>
            <w:r>
              <w:t>60</w:t>
            </w:r>
          </w:p>
        </w:tc>
      </w:tr>
      <w:tr>
        <w:tc>
          <w:tcPr>
            <w:tcW w:type="dxa" w:w="2160"/>
          </w:tcPr>
          <w:p>
            <w:r>
              <w:t>119</w:t>
            </w:r>
          </w:p>
        </w:tc>
        <w:tc>
          <w:tcPr>
            <w:tcW w:type="dxa" w:w="2160"/>
          </w:tcPr>
          <w:p>
            <w:r>
              <w:t>2 860 000,00</w:t>
            </w:r>
          </w:p>
        </w:tc>
        <w:tc>
          <w:tcPr>
            <w:tcW w:type="dxa" w:w="2160"/>
          </w:tcPr>
          <w:p>
            <w:r>
              <w:t>80,33</w:t>
            </w:r>
          </w:p>
        </w:tc>
        <w:tc>
          <w:tcPr>
            <w:tcW w:type="dxa" w:w="2160"/>
          </w:tcPr>
          <w:p>
            <w:r>
              <w:t>48,20</w:t>
            </w:r>
          </w:p>
        </w:tc>
      </w:tr>
    </w:tbl>
    <w:p>
      <w:r>
        <w:t>Заказчиком в протоколе рассмотрения и оценки вторых частей заявок была допущена техническая ошибка, из-за которой были указаны баллы участников без учета критерия значимости.</w:t>
      </w:r>
    </w:p>
    <w:p>
      <w:r>
        <w:t>В протоколе подведения итогов закупки итоговое количество баллов указано верно.</w:t>
      </w:r>
    </w:p>
    <w:p>
      <w:r>
        <w:t>Ввиду этого, вышеуказанная техническая ошибка не повлияла на итоги закупки. В заявке участника ООО «Бастион» в части нестоимостных критериев оценки Заказчиком были оценены все приложенные исполненные контракты как по их количеству, так и по их общей стоимости.</w:t>
      </w:r>
    </w:p>
    <w:p>
      <w:r>
        <w:t>Из текста протокола рассмотрения и оценки вторых частей заявок на участие в открытом конкурсе в электронной форме от 15.04.2025 №ПРОII1 усматривается отсутствие обоснования присвоения заявкам участников того или иного количества баллов в предельных установленных количествах в соответствии с критериями и порядком оценки, определенными в извещении об осуществлении конкурса. Так, из протокола не следует, по каким причинам и с учетом каких конкретных характеристик заявок и по какой именно формуле присвоено то или иное количество баллов.</w:t>
      </w:r>
    </w:p>
    <w:p>
      <w:r>
        <w:t>Вместе с тем, действия конкурсной комиссии при оценке заявок должны быть в первую очередь понятны участникам закупки. В настоящем случае алгоритм оценки и присвоения конкретного количества баллов не следует из протокола.</w:t>
      </w:r>
    </w:p>
    <w:p>
      <w:r>
        <w:t>Отсутствие в протоколе оценки заявок названного порядка не позволяет определить правомерность оценки конкурсных заявок участников закупки и препятствует участникам конкурса заявить конкретные возражения по применению (неприменению) того или иного критерия оценки, что нарушает п. 4 ч. 13 ст. 48 Закона о контрактной системе.</w:t>
      </w:r>
    </w:p>
    <w:p>
      <w:r>
        <w:t>Таким образом, довод жалобы признан обоснованной, а в действиях Заказчика усматриваются нарушения п. 4 ч. 13 ст. 48 Закона о контрактной системе.</w:t>
      </w:r>
    </w:p>
    <w:p>
      <w:r>
        <w:t>Комиссия УФАС отмечает, что в материалах дела отсутствуют сведения, позволяющие утверждать, что выявленные нарушения повлияли на права и законные интересы участников закупки и повлияли на результаты закупки.</w:t>
      </w:r>
    </w:p>
    <w:p>
      <w:r>
        <w:t>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pPr>
        <w:pStyle w:val="Heading2"/>
      </w:pPr>
      <w:r>
        <w:t>мотивировочная часть</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«Бастион» обоснованной.</w:t>
      </w:r>
    </w:p>
    <w:p>
      <w:r>
        <w:t>2. Признать в действиях Заказчика нарушение п. 4 ч. 13 ст. 48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