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202500114959005401</w:t>
      </w:r>
    </w:p>
    <w:p>
      <w:r>
        <w:rPr>
          <w:b/>
        </w:rPr>
        <w:t xml:space="preserve">УФАС: </w:t>
      </w:r>
      <w:r>
        <w:t>УФАС по Санкт-Петербургу</w:t>
      </w:r>
    </w:p>
    <w:p>
      <w:r>
        <w:rPr>
          <w:b/>
        </w:rPr>
        <w:t xml:space="preserve">Дата решения: </w:t>
      </w:r>
      <w:r>
        <w:t>21.05.2025</w:t>
      </w:r>
    </w:p>
    <w:p>
      <w:r>
        <w:rPr>
          <w:b/>
        </w:rPr>
        <w:t xml:space="preserve">Исход: </w:t>
      </w:r>
      <w:r>
        <w:t>обоснована</w:t>
      </w:r>
    </w:p>
    <w:p>
      <w:r>
        <w:rPr>
          <w:b/>
        </w:rPr>
        <w:t xml:space="preserve">Закупка №: </w:t>
      </w:r>
      <w:r>
        <w:t>0172200004925000116</w:t>
      </w:r>
    </w:p>
    <w:p>
      <w:r>
        <w:rPr>
          <w:b/>
        </w:rPr>
        <w:t xml:space="preserve">Заказчик: </w:t>
      </w:r>
      <w:r>
        <w:t>Администрация Приморского района Санкт-Петербурга</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https://zakupki.gov.ru/epz/complaint/card/complaint-information.html?complaintNumber=202500114959005401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Приморского района Санкт-Петербурга</w:t>
              <w:br/>
              <w:t>ул. Савушкина, д. 83,</w:t>
              <w:br/>
              <w:t>Санкт-Петербург, 197374</w:t>
              <w:br/>
              <w:t>эл. почта: sture@tuprim.gov.spb.ru</w:t>
              <w:br/>
              <w:t>АО «Сбербанк –АСТ»</w:t>
              <w:br/>
              <w:t>Большой Саввинский пер., д. 12, стр. 9,</w:t>
              <w:br/>
              <w:t>Москва, 119435</w:t>
              <w:br/>
              <w:t>факс: (495) 787-29-98</w:t>
              <w:br/>
              <w:t>ИП Мельничкин Е.В.</w:t>
              <w:br/>
              <w:t>ул. Рабочая, д. 59, кв. 4,</w:t>
              <w:br/>
              <w:t>Курганская область, г. Петухово, 641641</w:t>
              <w:br/>
              <w:t>эл. почта: evgenymelnichkin@tutamail.com</w:t>
            </w:r>
          </w:p>
        </w:tc>
      </w:tr>
    </w:tbl>
    <w:p>
      <w:r>
        <w:t>РЕШЕНИЕ по делу № 44-1205/25</w:t>
      </w:r>
    </w:p>
    <w:p>
      <w:r>
        <w:t>о нарушении законодательства о контрактной системе</w:t>
      </w:r>
    </w:p>
    <w:p>
      <w:r>
        <w:t>21.05.2025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представителя представителей Администрации Пушкинского района Санкт-Петербурга (далее – Заказчик):;</w:t>
      </w:r>
    </w:p>
    <w:p>
      <w:r>
        <w:t>в отсутствие ИП Мельничкин Е.В. (далее-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11497/25 от 16.05.2025) на действия Заказчика при определении (подрядчика, исполнителя) путем проведения открытого конкурса в электронной форме на выполнение работ по устройству системы газоснабжения объектов жилищного фонда, расположенных на территории Приморского района Санкт-Петербурга в 2025 г. (извещение № 0172200004925000116)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26.11.2024 на Официальном сайте Единой информационной системы в сфере закупок www.zakupki.gov.ru, номер извещения 0172200004925000116.</w:t>
      </w:r>
    </w:p>
    <w:p>
      <w:r>
        <w:t>Начальная (максимальная) цена контракта – 3 545 597,31 рублей.</w:t>
      </w:r>
    </w:p>
    <w:p>
      <w:r>
        <w:t>В жалобе Заявитель указал на неправомерные действия Заказчика, выразившиеся, по мнению Заявителя, в установлении ненадлежащего порядка рассмотрения и оценки заявок на участие в конкурсе.</w:t>
      </w:r>
    </w:p>
    <w:p>
      <w:r>
        <w:t>Представитель Заказчика с доводами Заявителя не согласился по основаниям, изложенным в письменных возражениях на жалобу.</w:t>
      </w:r>
    </w:p>
    <w:p>
      <w:r>
        <w:t>Информация, изложенная в жалобе, представленные документы подтверждают следующие обстоятельства:</w:t>
      </w:r>
    </w:p>
    <w:p>
      <w:r>
        <w:t>1. 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Согласно п. 16 Положения для оценки заявок по критерию оценки «характеристики объекта закупки» могут применяться, если иное не предусмотрено настоящим Положением,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17 Положения об оценки заявок для оценки заявок по показателям оценки, предусмотренным п. 16 Положения об оценке заявок, применяются детализирующие показатели, предусматривающие оценку различных характеристик, образующих такие показатели оценки.</w:t>
      </w:r>
    </w:p>
    <w:p>
      <w:r>
        <w:t>Пунктом 19 Положения об оценки заявок установлено, что,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Положению об оценке заявок, устанавливается перечень свойств объекта закупки, подлежащих оценке.</w:t>
      </w:r>
    </w:p>
    <w:p>
      <w:r>
        <w:t>В соответствии с п. 22 и п. 23 Положения об оценке заявок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Законом о контрактной системе оценке по критерию оценки «характеристики объекта закупки», по шкале оценки. При этом документом, предусмотренным приложением № 1 к Положению об оценке заявок,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 В данном случае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Извещением о проведении закупки предусмотрен следующий порядок оценки:</w:t>
      </w:r>
    </w:p>
    <w:p>
      <w:r>
        <w:t>Начисление баллов по детализирующему показателю «Обеспеченность материально-техническими ресурсами в части наличия у участника закупки собственных или арендованных производственных мощностей и технологического оборудования, выраженная в наличии специализированной техники» показателя «Наличие у участников закупки оборудования и других материальных ресурсов на праве собственности или ином законном основании» критерия оценки «Квалификация участников закупки» осуществляется на основании сведений, представленных в предложениях участников закупки.</w:t>
      </w:r>
    </w:p>
    <w:p>
      <w:r>
        <w:t>Максимальное количество баллов по детализирующему показателю оценки «Обеспеченность материально-техническими ресурсами в части наличия у участника закупки собственных или арендованных производственных мощностей и технологического оборудования, выраженная в наличии специализированной техники» – 100.</w:t>
      </w:r>
    </w:p>
    <w:p>
      <w:r>
        <w:t>Оценка по детализирующему показателю производится по следующей шкале:</w:t>
      </w:r>
    </w:p>
    <w:tbl>
      <w:tblPr>
        <w:tblStyle w:val="TableGrid"/>
        <w:tblW w:type="auto" w:w="0"/>
        <w:tblLook w:firstColumn="1" w:firstRow="1" w:lastColumn="0" w:lastRow="0" w:noHBand="0" w:noVBand="1" w:val="04A0"/>
      </w:tblPr>
      <w:tblGrid>
        <w:gridCol w:w="2880"/>
        <w:gridCol w:w="2880"/>
        <w:gridCol w:w="2880"/>
      </w:tblGrid>
      <w:tr>
        <w:tc>
          <w:tcPr>
            <w:tcW w:type="dxa" w:w="2880"/>
          </w:tcPr>
          <w:p>
            <w:r>
              <w:t>Уровень шкалы</w:t>
            </w:r>
          </w:p>
        </w:tc>
        <w:tc>
          <w:tcPr>
            <w:tcW w:type="dxa" w:w="2880"/>
          </w:tcPr>
          <w:p>
            <w:r>
              <w:t>Значение показателя</w:t>
            </w:r>
          </w:p>
        </w:tc>
        <w:tc>
          <w:tcPr>
            <w:tcW w:type="dxa" w:w="2880"/>
          </w:tcPr>
          <w:p>
            <w:r>
              <w:t>Количество присуждаемых баллов</w:t>
            </w:r>
          </w:p>
        </w:tc>
      </w:tr>
      <w:tr>
        <w:tc>
          <w:tcPr>
            <w:tcW w:type="dxa" w:w="2880"/>
          </w:tcPr>
          <w:p>
            <w:r>
              <w:t>1</w:t>
            </w:r>
          </w:p>
        </w:tc>
        <w:tc>
          <w:tcPr>
            <w:tcW w:type="dxa" w:w="2880"/>
          </w:tcPr>
          <w:p>
            <w:r>
              <w:t>Специальные машины и механизмы – 35 шт. и более, газоанализаторы – 50 шт. и более, течеискатели – 45 шт. и более.</w:t>
            </w:r>
          </w:p>
        </w:tc>
        <w:tc>
          <w:tcPr>
            <w:tcW w:type="dxa" w:w="2880"/>
          </w:tcPr>
          <w:p>
            <w:r>
              <w:t>100</w:t>
            </w:r>
          </w:p>
        </w:tc>
      </w:tr>
      <w:tr>
        <w:tc>
          <w:tcPr>
            <w:tcW w:type="dxa" w:w="2880"/>
          </w:tcPr>
          <w:p>
            <w:r>
              <w:t>2</w:t>
            </w:r>
          </w:p>
        </w:tc>
        <w:tc>
          <w:tcPr>
            <w:tcW w:type="dxa" w:w="2880"/>
          </w:tcPr>
          <w:p>
            <w:r>
              <w:t>Специальные машины и механизмы – 30 шт. и более, газоанализаторы – 40 шт. и более, течеискатели – 40 шт. и более.</w:t>
            </w:r>
          </w:p>
        </w:tc>
        <w:tc>
          <w:tcPr>
            <w:tcW w:type="dxa" w:w="2880"/>
          </w:tcPr>
          <w:p>
            <w:r>
              <w:t>70</w:t>
            </w:r>
          </w:p>
        </w:tc>
      </w:tr>
      <w:tr>
        <w:tc>
          <w:tcPr>
            <w:tcW w:type="dxa" w:w="2880"/>
          </w:tcPr>
          <w:p>
            <w:r>
              <w:t>3</w:t>
            </w:r>
          </w:p>
        </w:tc>
        <w:tc>
          <w:tcPr>
            <w:tcW w:type="dxa" w:w="2880"/>
          </w:tcPr>
          <w:p>
            <w:r>
              <w:t>Специальные машины и механизмы – 30 шт. и более, газоанализаторы – 40 шт. и более, течеискатели – 40 шт. и более, при этом хотя бы по одной из позиций менее, чем в строке 1.</w:t>
            </w:r>
          </w:p>
        </w:tc>
        <w:tc>
          <w:tcPr>
            <w:tcW w:type="dxa" w:w="2880"/>
          </w:tcPr>
          <w:p>
            <w:r>
              <w:t>60</w:t>
            </w:r>
          </w:p>
        </w:tc>
      </w:tr>
      <w:tr>
        <w:tc>
          <w:tcPr>
            <w:tcW w:type="dxa" w:w="2880"/>
          </w:tcPr>
          <w:p>
            <w:r>
              <w:t>4</w:t>
            </w:r>
          </w:p>
        </w:tc>
        <w:tc>
          <w:tcPr>
            <w:tcW w:type="dxa" w:w="2880"/>
          </w:tcPr>
          <w:p>
            <w:r>
              <w:t>Специальные машины и механизмы – 25 шт. и более, газоанализаторы – 35 шт. и более, течеискатели – 35 шт. и более, при этом хотя бы по одной из позиций менее, чем в строке 2.</w:t>
            </w:r>
          </w:p>
        </w:tc>
        <w:tc>
          <w:tcPr>
            <w:tcW w:type="dxa" w:w="2880"/>
          </w:tcPr>
          <w:p>
            <w:r>
              <w:t>40</w:t>
            </w:r>
          </w:p>
        </w:tc>
      </w:tr>
      <w:tr>
        <w:tc>
          <w:tcPr>
            <w:tcW w:type="dxa" w:w="2880"/>
          </w:tcPr>
          <w:p>
            <w:r>
              <w:t>5</w:t>
            </w:r>
          </w:p>
        </w:tc>
        <w:tc>
          <w:tcPr>
            <w:tcW w:type="dxa" w:w="2880"/>
          </w:tcPr>
          <w:p>
            <w:r>
              <w:t>Специальные машины и механизмы – 25 шт. и более, газоанализаторы – 35 шт. и более, течеискатели – 35 шт. и более, при этом хотя бы по одной из позиций менее, чем в строке 3.</w:t>
            </w:r>
          </w:p>
        </w:tc>
        <w:tc>
          <w:tcPr>
            <w:tcW w:type="dxa" w:w="2880"/>
          </w:tcPr>
          <w:p>
            <w:r>
              <w:t>20</w:t>
            </w:r>
          </w:p>
        </w:tc>
      </w:tr>
      <w:tr>
        <w:tc>
          <w:tcPr>
            <w:tcW w:type="dxa" w:w="2880"/>
          </w:tcPr>
          <w:p>
            <w:r>
              <w:t>6</w:t>
            </w:r>
          </w:p>
        </w:tc>
        <w:tc>
          <w:tcPr>
            <w:tcW w:type="dxa" w:w="2880"/>
          </w:tcPr>
          <w:p>
            <w:r>
              <w:t>Специальные машины и механизмы – 20 шт. и более, газоанализаторы – 30 шт. и более, течеискатели – 30 шт. и более, при этом хотя бы по одной из позиций менее, чем в строке 4.</w:t>
            </w:r>
          </w:p>
        </w:tc>
        <w:tc>
          <w:tcPr>
            <w:tcW w:type="dxa" w:w="2880"/>
          </w:tcPr>
          <w:p>
            <w:r>
              <w:t>10</w:t>
            </w:r>
          </w:p>
        </w:tc>
      </w:tr>
      <w:tr>
        <w:tc>
          <w:tcPr>
            <w:tcW w:type="dxa" w:w="2880"/>
          </w:tcPr>
          <w:p>
            <w:r>
              <w:t>7</w:t>
            </w:r>
          </w:p>
        </w:tc>
        <w:tc>
          <w:tcPr>
            <w:tcW w:type="dxa" w:w="2880"/>
          </w:tcPr>
          <w:p>
            <w:r>
              <w:t>Сведения/документы не представлены и/или не соответствуют требованиям данного раздела и/или не соответствуют уровню шкалы оценки 1, 2, 3, 4, 5, 6 настоящей таблицы.</w:t>
            </w:r>
          </w:p>
        </w:tc>
        <w:tc>
          <w:tcPr>
            <w:tcW w:type="dxa" w:w="2880"/>
          </w:tcPr>
          <w:p>
            <w:r>
              <w:t>0</w:t>
            </w:r>
          </w:p>
        </w:tc>
      </w:tr>
    </w:tbl>
    <w:p>
      <w:r>
        <w:t>В рамках детализирующего показателя «Обеспеченность материально-техническими ресурсами в части наличия у участника закупки собственных или арендованных производственных мощностей и технологического оборудования, выраженная в наличии специализированной техники» оценивается обеспеченность участника конкурса материально-техническими ресурсами в части наличия у такого участника специальной техники и механизмов, в том числе газоанализаторов и течеискателей, предназначенных для контроля работы сварочных аппаратов, необходимой для выполнения работ.</w:t>
      </w:r>
    </w:p>
    <w:p>
      <w:r>
        <w:t>Для подтверждения наличия у участника конкурса соответствующих материально-технических ресурсов, участник заполняет рекомендуемую Форму №4 «Наличие материально-технических ресурсов» (Приложение №1 к Порядку рассмотрения и оценки заявок на участие в конкурсе) с приложениями копий документов в отношении каждой единицы материально-технического ресурса.</w:t>
      </w:r>
    </w:p>
    <w:p>
      <w:r>
        <w:t>Сведения, указанные в Форме №4 «Наличие материально-технических ресурсов», должны подтверждаться, входящими в состав заявки участника следующими документами:</w:t>
      </w:r>
    </w:p>
    <w:p>
      <w:r>
        <w:t>- копии инвентарных карточек учета объектов основных средств унифицированной формы ОС-6 и копии свидетельства о праве собственности на технику (ПТС или ПСМ), копии документов, подтверждающих факт наличия у участника закупки средств малой механизации (накладные или счета-фактуры), при наличии указанных объектов в собственности, или копии договоров аренды (лизинга) безвозмездного пользования, субаренды с приложением актов, подтверждающих наличие у участника закупки оборудования (при отсутствии оборудования в собственности участника закупки);</w:t>
      </w:r>
    </w:p>
    <w:p>
      <w:r>
        <w:t>- копии свидетельства о регистрации техники;</w:t>
      </w:r>
    </w:p>
    <w:p>
      <w:r>
        <w:t>В случае предоставления неполного пакета документов в отношении единицы техники и механизмов, несоответствия сведений в представленных документах Форме №4 «Наличие материально-технических ресурсов», комиссия не засчитывает наличие такого материально-технического ресурса.</w:t>
      </w:r>
    </w:p>
    <w:p>
      <w:r>
        <w:t>В случае предоставления информации не по рекомендуемой форме, указанная информация должна содержать все сведения предусмотренные рекомендуемой формой. В случае непредставления информации, предусмотренной Формой №4 «Наличие материально-технических ресурсов», или непредставления подтверждающих документов начисление баллов по данному детализирующему показателю не производится.</w:t>
      </w:r>
    </w:p>
    <w:p>
      <w:r>
        <w:t>Представленные документы должны быть в виде неповторяющихся, полно читаемых копий, на которых видны необходимые сведения, даты, подписи, печати. Копии указанных документов должны быть представлены в полном объеме со всеми приложениями, являющимися их неотъемлемой частью. Документы направляются в форме электронных документов или в форме электронных образов бумажных документов.</w:t>
      </w:r>
    </w:p>
    <w:p>
      <w:r>
        <w:t>Для целей оценки конкурсной заявки учитываются только материально-технические ресурсы, обладающие необходимыми для качественного выполнения работ характеристиками:</w:t>
      </w:r>
    </w:p>
    <w:p>
      <w:r>
        <w:t>Машины, предназначенные для перевозки производственного персонала, сварочного оборудования;</w:t>
      </w:r>
    </w:p>
    <w:p>
      <w:r>
        <w:t>Механизмы, предназначенные для сварочных работ, соответствующие стандартам аттестации сварочного оборудования;</w:t>
      </w:r>
    </w:p>
    <w:p>
      <w:r>
        <w:t>Газоанализаторы, соответствующие стандартам поверки газового оборудования;</w:t>
      </w:r>
    </w:p>
    <w:p>
      <w:r>
        <w:t>Течеискатели, соответствующие стандартам поверки газового оборудования;</w:t>
      </w:r>
    </w:p>
    <w:p>
      <w:r>
        <w:t>Не предоставление в составе заявки на участие в конкурсе сведений/документов не является основанием для отказа в допуске к участию в электронном конкурсе.</w:t>
      </w:r>
    </w:p>
    <w:p>
      <w:r>
        <w:t>Предоставление недостоверных сведений является основанием для отказа в допуске к участию в электронном конкурсе.</w:t>
      </w:r>
    </w:p>
    <w:p>
      <w:r>
        <w:t>Установленный Заказчиком порядок оценки заявок не соответствует пункту 23 Положения, так как предусматривает оценку наличия или отсутствия характеристики объекта закупки.</w:t>
      </w:r>
    </w:p>
    <w:p>
      <w:pPr>
        <w:pStyle w:val="Heading2"/>
      </w:pPr>
      <w:r>
        <w:t>мотивировочная часть</w:t>
      </w:r>
    </w:p>
    <w:p>
      <w:r>
        <w:t>На основании вышеизложенного, Комиссия УФАС приходит к выводу, что действия Заказчика, ненадлежащим образом установившего Порядок оценки, нарушают п. 4 ч. 2 ст. 42 Закона о контрактной системе.</w:t>
      </w:r>
    </w:p>
    <w:p>
      <w:r>
        <w:t>2. 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27 Положения в случае применения показателя оценки, указанного в подпункте "б" пункта 24 настоящего Положения, документом, предусмотренным приложением N 1 к настоящему Положению, устанавливаются:</w:t>
      </w:r>
    </w:p>
    <w:p>
      <w:r>
        <w:t>а) перечень оборудования и других материальных ресурсов, оцениваемых по показателю, предусмотренному подпунктом "б" пункта 24 настоящего Положения, и необходимых для поставки товара, выполнения работ, оказания услуг, являющихся объектом закупки;</w:t>
      </w:r>
    </w:p>
    <w:p>
      <w:r>
        <w:t>б)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подпунктом "а" настоящего пункта:</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r>
        <w:t>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r>
        <w:t>иные документы, подтверждающие нахождение у участника закупки в течение срока исполнения контракта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r>
        <w:t>в) к оценке принимаются документы, предусмотренные подпунктом "б" настоящего пункта, в случае их представления в заявке в полном объеме и со всеми приложениями.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Заказчиком установлен порядок оценки заявок, в том числе следующие положения:</w:t>
      </w:r>
    </w:p>
    <w:p>
      <w:r>
        <w:t>Начисление баллов по детализирующему показателю «Наличие производственных площадок для размещения и хранения материалов, техники и оборудования общей площадью 600 кв.м. или более» показателя «Наличие у участников закупки оборудования и других материальных ресурсов на праве собственности или ином законном основании» критерия оценки «Квалификация участников закупки» осуществляется на основании сведений, представленных в предложениях участников закупки.</w:t>
      </w:r>
    </w:p>
    <w:p>
      <w:r>
        <w:t>Максимальное количество баллов по детализирующему показателю оценки «Наличие производственных площадок для размещения и хранения материалов, техники и оборудования общей площадью 600 кв.м. или более» – 100.</w:t>
      </w:r>
    </w:p>
    <w:p>
      <w:r>
        <w:t>Оценка по детализирующему показателю производится по следующей шкале:</w:t>
      </w:r>
    </w:p>
    <w:tbl>
      <w:tblPr>
        <w:tblStyle w:val="TableGrid"/>
        <w:tblW w:type="auto" w:w="0"/>
        <w:tblLook w:firstColumn="1" w:firstRow="1" w:lastColumn="0" w:lastRow="0" w:noHBand="0" w:noVBand="1" w:val="04A0"/>
      </w:tblPr>
      <w:tblGrid>
        <w:gridCol w:w="2880"/>
        <w:gridCol w:w="2880"/>
        <w:gridCol w:w="2880"/>
      </w:tblGrid>
      <w:tr>
        <w:tc>
          <w:tcPr>
            <w:tcW w:type="dxa" w:w="2880"/>
          </w:tcPr>
          <w:p>
            <w:r>
              <w:t>Уровень шкалы</w:t>
            </w:r>
          </w:p>
        </w:tc>
        <w:tc>
          <w:tcPr>
            <w:tcW w:type="dxa" w:w="2880"/>
          </w:tcPr>
          <w:p>
            <w:r>
              <w:t>Значение показателя</w:t>
            </w:r>
          </w:p>
        </w:tc>
        <w:tc>
          <w:tcPr>
            <w:tcW w:type="dxa" w:w="2880"/>
          </w:tcPr>
          <w:p>
            <w:r>
              <w:t>Количество присуждаемых баллов</w:t>
            </w:r>
          </w:p>
        </w:tc>
      </w:tr>
      <w:tr>
        <w:tc>
          <w:tcPr>
            <w:tcW w:type="dxa" w:w="2880"/>
          </w:tcPr>
          <w:p>
            <w:r>
              <w:t>1</w:t>
            </w:r>
          </w:p>
        </w:tc>
        <w:tc>
          <w:tcPr>
            <w:tcW w:type="dxa" w:w="2880"/>
          </w:tcPr>
          <w:p>
            <w:r>
              <w:t>Наличие производственных площадок для размещения и хранения материалов, техники и оборудования общей площадью 600 кв.м. или более.</w:t>
            </w:r>
          </w:p>
        </w:tc>
        <w:tc>
          <w:tcPr>
            <w:tcW w:type="dxa" w:w="2880"/>
          </w:tcPr>
          <w:p>
            <w:r>
              <w:t>100</w:t>
            </w:r>
          </w:p>
        </w:tc>
      </w:tr>
      <w:tr>
        <w:tc>
          <w:tcPr>
            <w:tcW w:type="dxa" w:w="2880"/>
          </w:tcPr>
          <w:p>
            <w:r>
              <w:t>2</w:t>
            </w:r>
          </w:p>
        </w:tc>
        <w:tc>
          <w:tcPr>
            <w:tcW w:type="dxa" w:w="2880"/>
          </w:tcPr>
          <w:p>
            <w:r>
              <w:t>Производственные площадки для размещения и хранения материалов, техники и оборудования общей площадью 600 кв.м. или более отсутствуют или сведения об их наличии не представлены или не соответствуют требованиям конкурсной документации</w:t>
            </w:r>
          </w:p>
        </w:tc>
        <w:tc>
          <w:tcPr>
            <w:tcW w:type="dxa" w:w="2880"/>
          </w:tcPr>
          <w:p>
            <w:r>
              <w:t>0</w:t>
            </w:r>
          </w:p>
        </w:tc>
      </w:tr>
    </w:tbl>
    <w:p>
      <w:r>
        <w:t>В рамках детализирующего показателя «Наличие производственных площадок для размещения и хранения материалов, техники и оборудования общей площадью 600 кв.м. или более» оценивается обеспеченность участника конкурса материально-техническими ресурсами в части наличия у такого участника на праве собственности и (или) ином законном основании недвижимого имущества - производственных площадок для размещения и хранения материалов, техники и оборудования.</w:t>
      </w:r>
    </w:p>
    <w:p>
      <w:r>
        <w:t>Для подтверждения наличия у участника конкурса соответствующих производственных площадок для размещения и хранения материалов, техники и оборудования, участник заполняет рекомендуемую Форму №5 «Наличие производственных площадок для размещения и хранения материалов, техники и оборудования» (Приложение №1 к Порядку рассмотрения и оценки заявок на участие в конкурсе) с приложениями копий документов.</w:t>
      </w:r>
    </w:p>
    <w:p>
      <w:r>
        <w:t>Сведения, указанные в Форме №5 «Наличие производственных площадок для размещения и хранения материалов, техники и оборудования», должны подтверждаться, входящими в состав заявки участника следующими документами:</w:t>
      </w:r>
    </w:p>
    <w:p>
      <w:r>
        <w:t>- копия договора аренды недвижимого имущества или договора о совместной хозяйственной деятельности или документы, подтверждающие право собственности на объект недвижимости, используемый в производственных целях 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на участие в настоящем конкурсе (при наличии объекта недвижимого имущества в собственности участника закупки);</w:t>
      </w:r>
    </w:p>
    <w:p>
      <w:r>
        <w:t>- 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на участие в настоящем конкурсе (при наличии объекта недвижимого имущества у участника закупки на праве аренды);</w:t>
      </w:r>
    </w:p>
    <w:p>
      <w:r>
        <w:t>иные документы, подтверждающие нахождение у участника закупки в течение срока исполнения контракта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r>
        <w:t>В случае предоставления неполного пакета документов в отношении сведений, указанных в Форме №5 «Наличие производственных площадок для размещения и хранения материалов, техники и оборудования», комиссия не засчитывает наличие такого материально-технического ресурса.</w:t>
      </w:r>
    </w:p>
    <w:p>
      <w:r>
        <w:t>В случае предоставления информации не по рекомендуемой форме, указанная информация должна содержать все сведения предусмотренные рекомендуемой формой. В случае непредставления информации, предусмотренной Формой №5 «Наличие производственных площадок для размещения и хранения материалов, техники и оборудования», или непредставления подтверждающих документов начисление баллов по данному детализирующему показателю не производится.</w:t>
      </w:r>
    </w:p>
    <w:p>
      <w:r>
        <w:t>Представленные документы должны быть в виде неповторяющихся, полно читаемых копий, на которых видны необходимые сведения, даты, подписи, печати. Копии указанных документов должны быть представлены в полном объеме со всеми приложениями, являющимися их неотъемлемой частью. Документы направляются в форме электронных документов или в форме электронных образов бумажных документов.</w:t>
      </w:r>
    </w:p>
    <w:p>
      <w:r>
        <w:t>Не предоставление в составе заявки на участие в конкурсе сведений/документов не является основанием для отказа в допуске к участию в электронном конкурсе.</w:t>
      </w:r>
    </w:p>
    <w:p>
      <w:r>
        <w:t>Предоставление недостоверных сведений является основанием для отказа в допуске к участию в электронном конкурсе».</w:t>
      </w:r>
    </w:p>
    <w:p>
      <w:r>
        <w:t>Комиссией УФАС установлено, что показатель «процесс Наличие производственных площадок для размещения и хранения материалов, техники и оборудования общей площадью 600 кв.м. или более» не соотносится с определённым перечнем свойств, в требованиях к оказанию услуг, содержащихся в Техническом задании конкурса.</w:t>
      </w:r>
    </w:p>
    <w:p>
      <w:r>
        <w:t>На основании вышеизложенного, Комиссия УФАС приходит к выводу, что действия Заказчика, ненадлежащим образом установившего Порядок оценки, нарушают п. 4 ч. 2 ст. 42 Закона о контрактной системе.</w:t>
      </w:r>
    </w:p>
    <w:p>
      <w:r>
        <w:t>3. В соответствии с п. 28 Положения Постановления №2604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Заказчиком установлен порядок оценки заявок, в том числе следующие положения:</w:t>
      </w:r>
    </w:p>
    <w:p>
      <w:r>
        <w:t>Начисление баллов по детализирующему показателю «Общая цена исполненных участником закупки договоров/контрактов» показателя «Наличие у участников закупки опыта работы, связанного с предметом контракта» критерия оценки «Квалификация участников закупки» осуществляется на основании сведений, представленных в предложениях участников закупки.</w:t>
      </w:r>
    </w:p>
    <w:p>
      <w:r>
        <w:t>Максимальное количество баллов по детализирующему показателю оценки «Общая цена исполненных участником закупки договоров/контрактов» – 100.</w:t>
      </w:r>
    </w:p>
    <w:p>
      <w:r>
        <w:t>Оценка по детализирующему показателю рассчитывается по формуле:</w:t>
      </w:r>
    </w:p>
    <w:p>
      <w:r>
        <w:t>,</w:t>
      </w:r>
    </w:p>
    <w:p>
      <w:r>
        <w:t>где:</w:t>
      </w:r>
    </w:p>
    <w:p>
      <w:r>
        <w:t>БХi - количество баллов, присваиваемых заявке, по детализирующему показателю;</w:t>
      </w:r>
    </w:p>
    <w:p>
      <w:r>
        <w:t>Xi - значение детализирующего показателя, содержащееся в предложении участника закупки, заявка которого подлежит оценке по детализирующему показателю «Общая цена исполненных участником закупки договоров/контрактов»;</w:t>
      </w:r>
    </w:p>
    <w:p>
      <w:r>
        <w:t>Xmin - минимальное значение детализирующего показателя, содержащееся в заявках, подлежащих оценке по детализирующему показателю оценки «Общая цена исполненных участником закупки договоров/контрактов»;</w:t>
      </w:r>
    </w:p>
    <w:p>
      <w:r>
        <w:t>Xmaxпред - предельное максимальное значение детализирующего показателя.</w:t>
      </w:r>
    </w:p>
    <w:p>
      <w:r>
        <w:t>Лучшим является наибольшее значение характеристики, при этом установлено предельное максимальное значение детализирующего показателя.</w:t>
      </w:r>
    </w:p>
    <w:p>
      <w:r>
        <w:t>Xmaxпред = 70 000 000,00 рублей.</w:t>
      </w:r>
    </w:p>
    <w:p>
      <w:r>
        <w:t>Если в предложении участника закупки содержится значение детализирующего показателя, которое выше предельного максимального значения детализирующего показателя, то заявке участника закупки присваивается 100 баллов по данному детализирующему показателю.</w:t>
      </w:r>
    </w:p>
    <w:p>
      <w:r>
        <w:t>Дробное значение рейтинга округляется до двух десятичных знаков после запятой по математическим правилам округления.</w:t>
      </w:r>
    </w:p>
    <w:p>
      <w:r>
        <w:t>В рамках детализирующего показателя «Общая цена исполненных участником закупки договоров/контрактов» оценивается объем стоимости исполненных контрактов (договоров) на выполнение работ (оказание услуг) по устройству внутридомовой системы газоснабжения (и/или реконструкции систем газоснабжения) льготным категориям граждан, капитальному ремонту общего имущества в многоквартирных домах, индивидуального жилого фонда Санкт-Петербурга и Ленинградской области.</w:t>
      </w:r>
    </w:p>
    <w:p>
      <w:r>
        <w:t>Участник заполняет рекомендуемую форму №6 «Общая цена исполненных участником закупки договоров/контрактов» (Приложение №1 к Порядку рассмотрения и оценки заявок на участие в конкурсе).</w:t>
      </w:r>
    </w:p>
    <w:p>
      <w:r>
        <w:t>Для подтверждения общей цены исполненных участником закупки контрактов (договоров) на выполнение работ (оказание услуг) по устройству внутридомовой системы газоснабжения (и/или реконструкции систем газоснабжения) льготным категориям граждан, капитальному ремонту общего имущества в многоквартирных домах, индивидуального жилого фонда Санкт-Петербурга и Ленинградской области, участник закупки предоставляет в составе заявки копии следующих документов:</w:t>
      </w:r>
    </w:p>
    <w:p>
      <w:r>
        <w:t>- контракт (договор) на выполнение работ (оказание услуг) по устройству внутридомовой системы газоснабжения (и/или реконструкции систем газоснабжения) льготным категориям граждан, капитальному ремонту общего имущества в многоквартирных домах, индивидуального жилого фонда Санкт-Петербурга и Ленинградской области со всеми приложениями, дополнениями, изменениями;</w:t>
      </w:r>
    </w:p>
    <w:p>
      <w:r>
        <w:t>- акты выполненных работ (оказанных услуг) к такому контракту (договору), а также скриншоты вкладки «Общая информация» из карточки соответствующего контракта, находящегося в едином реестре государственных и муниципальных контрактов, расположенного на официальном сайте http://zakupki.gov.ru (если информация о контракте (договоре) содержится на сайте).</w:t>
      </w:r>
    </w:p>
    <w:p>
      <w:r>
        <w:t>Надлежаще исполненным контрактом (договором) считается контракт (договор), исполнение которого завершено до даты публикации извещения о проведении настоящего конкурса, при этом последний акт выполненных работ (оказанных услуг), составленный при исполнении такого контракта (договора), должен быть подписан не ранее чем за 5 лет до даты окончания срока подачи заявок.</w:t>
      </w:r>
    </w:p>
    <w:p>
      <w:r>
        <w:t>В рамках детализирующего показателя «Общая цена исполненных участником закупки договоров/контрактов» критерия оценки «Квалификация участника закупки» учитываются только контракты (договоры) на выполнение работ (оказание услуг) по устройству внутридомовой системы газоснабжения (и/или реконструкции систем газоснабжения) льготным категориям граждан, капитальному ремонту общего имущества в многоквартирных домах, индивидуального жилого фонда Санкт-Петербурга и Ленинградской области, заключенные с государственными или муниципальными Заказчиками.</w:t>
      </w:r>
    </w:p>
    <w:p>
      <w:r>
        <w:t>В случае предоставления неполного комплекта документов по контракту (договору) и/или в случае несоответствия сумм, указанных в исполненных контрактах (договорах) и актах выполненных работ (накладных, счетов-фактур) по этому контракту, присвоение баллов по таким контрактам (договорам) будет осуществляться из расчета подтвержденных актами выполненных работ (накладными, счетами-фактурами) сумм.</w:t>
      </w:r>
    </w:p>
    <w:p>
      <w:r>
        <w:t>В случае предоставления информации не по рекомендуемой форме, указанная информация должна содержать все сведения предусмотренные рекомендуемой формой. В случае непредставления информации, предусмотренной Формой №6 «Общая цена исполненных участником закупки договоров/контрактов», или непредставления подтверждающих документов начисление баллов по данному детализирующему показателю не производится.</w:t>
      </w:r>
    </w:p>
    <w:p>
      <w:r>
        <w:t>Представленные документы должны быть в виде неповторяющихся, полно читаемых копий, на которых видны необходимые сведения, даты, подписи, печати. Копии указанных документов должны быть представлены в полном объеме со всеми приложениями, являющимися их неотъемлемой частью. Документы направляются в форме электронных документов или в форме электронных образов бумажных документов.</w:t>
      </w:r>
    </w:p>
    <w:p>
      <w:r>
        <w:t>Не предоставление в составе заявки на участие в конкурсе сведений/документов не является основанием для отказа в допуске к участию в электронном конкурсе.</w:t>
      </w:r>
    </w:p>
    <w:p>
      <w:r>
        <w:t>Предоставление недостоверных сведений является основанием для отказа в допуске к участию в электронном конкурсе.</w:t>
      </w:r>
    </w:p>
    <w:p>
      <w:r>
        <w:t>В рамках детализирующего показателя «Общая цена исполненных участником закупки договоров/контрактов» оценивается объем стоимости исполненных контрактов (договоров) на выполнение работ (оказание услуг) по устройству внутридомовой системы газоснабжения (и/или реконструкции систем газоснабжения) льготным категориям граждан, капитальному ремонту общего имущества в многоквартирных домах, индивидуального жилого фонда Санкт-Петербурга и Ленинградской области.</w:t>
      </w:r>
    </w:p>
    <w:p>
      <w:r>
        <w:t>Подпунктом «в» п. 28 Положения однозначно определено, что в порядке оценки, в том числе,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Вместе с тем, Положением не предусмотрена возможность Заказчика установить к оценке договора с привязкой к определённому субъекту Российской Федерации.</w:t>
      </w:r>
    </w:p>
    <w:p>
      <w:r>
        <w:t>Таким образом, установленный Заказчиком порядок оценки заявок не соответствует подпункту «в» пункта 28 Положения.</w:t>
      </w:r>
    </w:p>
    <w:p>
      <w:r>
        <w:t>Кроме того, на заседании Комиссии УФАС Заказчиком не представлено доказательств, свидетельствующих о специфике требуемых работ в установленных субъектах.</w:t>
      </w:r>
    </w:p>
    <w:p>
      <w:r>
        <w:t>На основании вышеизложенного, Комиссия УФАС приходит к выводу, что действия Заказчика, ненадлежащим образом установившего Порядок оценки, нарушают п. 4 ч. 2 ст. 42 Закона о контрактной системе.</w:t>
      </w:r>
    </w:p>
    <w:p>
      <w:r>
        <w:t>4. Согласно п. 30 Положения в случае применения показателя оценки, указанного в подпункте "д" пункта 24 настоящего Положения, документом, предусмотренным приложением N 1 к настоящему Положению, устанавливаются:</w:t>
      </w:r>
    </w:p>
    <w:p>
      <w:r>
        <w:t>а) перечень специалистов и иных работников, их квалификация, оцениваемые по показателю, предусмотренному подпунктом "д" пункта 24 настоящего Положения, и необходимые для поставки товара, выполнения работ, оказания услуг, являющихся объектом закупки;</w:t>
      </w:r>
    </w:p>
    <w:p>
      <w:r>
        <w:t>б) 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 предусмотренные перечнем, установленным в соответствии с подпунктом "а" настоящего пункта:</w:t>
      </w:r>
    </w:p>
    <w:p>
      <w:r>
        <w:t>трудовая книжка или сведения о трудовой деятельности, предусмотренные статьей 66.1 Трудового кодекса Российской Федерации;</w:t>
      </w:r>
    </w:p>
    <w:p>
      <w: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Федерации).В соответствии с извещением о проведении закупки Заказчиком для оценки заявок участников закупки использован, в том числе, критерий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r>
        <w:t>Порядком оценки в оспариваемой части установлены следующие указания:</w:t>
      </w:r>
    </w:p>
    <w:p>
      <w:r>
        <w:t>«Начисление баллов по детализирующему показателю «Наличие у участника закупки специалистов, обладающих необходимой квалификацией, профессиональной подготовкой, специальными знаниями в области проектирования и строительства газопровода» показателя «Наличие у участников закупки специалистов и иных работников определенного уровня квалификации» критерия оценки «Квалификация участников закупки» осуществляется на основании сведений, представленных в предложениях участников закупки.</w:t>
      </w:r>
    </w:p>
    <w:p>
      <w:r>
        <w:t>Максимальное количество баллов по детализирующему показателю оценки «Наличие у участника закупки специалистов, обладающих необходимой квалификацией, профессиональной подготовкой, специальными знаниями в области проектирования и строительства газопровода» – 100.</w:t>
      </w:r>
    </w:p>
    <w:p>
      <w:r>
        <w:t>Оценка по детализирующему показателю производится по следующей шкале:</w:t>
      </w:r>
    </w:p>
    <w:tbl>
      <w:tblPr>
        <w:tblStyle w:val="TableGrid"/>
        <w:tblW w:type="auto" w:w="0"/>
        <w:tblLook w:firstColumn="1" w:firstRow="1" w:lastColumn="0" w:lastRow="0" w:noHBand="0" w:noVBand="1" w:val="04A0"/>
      </w:tblPr>
      <w:tblGrid>
        <w:gridCol w:w="2880"/>
        <w:gridCol w:w="2880"/>
        <w:gridCol w:w="2880"/>
      </w:tblGrid>
      <w:tr>
        <w:tc>
          <w:tcPr>
            <w:tcW w:type="dxa" w:w="2880"/>
          </w:tcPr>
          <w:p>
            <w:r>
              <w:t>Уровень шкалы</w:t>
            </w:r>
          </w:p>
        </w:tc>
        <w:tc>
          <w:tcPr>
            <w:tcW w:type="dxa" w:w="2880"/>
          </w:tcPr>
          <w:p>
            <w:r>
              <w:t>Значение показателя</w:t>
            </w:r>
          </w:p>
        </w:tc>
        <w:tc>
          <w:tcPr>
            <w:tcW w:type="dxa" w:w="2880"/>
          </w:tcPr>
          <w:p>
            <w:r>
              <w:t>Количество присуждаемых баллов</w:t>
            </w:r>
          </w:p>
        </w:tc>
      </w:tr>
      <w:tr>
        <w:tc>
          <w:tcPr>
            <w:tcW w:type="dxa" w:w="2880"/>
          </w:tcPr>
          <w:p>
            <w:r>
              <w:t>1</w:t>
            </w:r>
          </w:p>
        </w:tc>
        <w:tc>
          <w:tcPr>
            <w:tcW w:type="dxa" w:w="2880"/>
          </w:tcPr>
          <w:p>
            <w:r>
              <w:t>Наличие у участника закупки специалистов, обладающих необходимой квалификацией, профессиональной подготовкой, специальными знаниями в области проектирования и строительства газопровода</w:t>
            </w:r>
          </w:p>
        </w:tc>
        <w:tc>
          <w:tcPr>
            <w:tcW w:type="dxa" w:w="2880"/>
          </w:tcPr>
          <w:p>
            <w:r>
              <w:t>100</w:t>
            </w:r>
          </w:p>
        </w:tc>
      </w:tr>
      <w:tr>
        <w:tc>
          <w:tcPr>
            <w:tcW w:type="dxa" w:w="2880"/>
          </w:tcPr>
          <w:p>
            <w:r>
              <w:t>2</w:t>
            </w:r>
          </w:p>
        </w:tc>
        <w:tc>
          <w:tcPr>
            <w:tcW w:type="dxa" w:w="2880"/>
          </w:tcPr>
          <w:p>
            <w:r>
              <w:t>Сведения о наличии у участника конкурса специалиста, обладающего необходимой квалификацией, профессиональной подготовкой, специальными знаниями в области проектирования и строительства газопровода не представлены или не соответствуют конкурсной документации</w:t>
            </w:r>
          </w:p>
        </w:tc>
        <w:tc>
          <w:tcPr>
            <w:tcW w:type="dxa" w:w="2880"/>
          </w:tcPr>
          <w:p>
            <w:r>
              <w:t>0</w:t>
            </w:r>
          </w:p>
        </w:tc>
      </w:tr>
    </w:tbl>
    <w:p>
      <w:r>
        <w:t>Для подтверждения наличия у участника конкурса специалистов, обладающих необходимой квалификацией, профессиональной подготовкой, специальными знаниями в области проектирования и строительства газопровода, участник заполняет рекомендуемую Форму №9 «Сведения о сотрудниках, обладающих необходимой квалификацией, профессиональной подготовкой, специальными знаниями» (Приложение №1 к Порядку рассмотрения и оценки заявок на участие в конкурсе)</w:t>
      </w:r>
    </w:p>
    <w:p>
      <w:r>
        <w:t>Сведения, указанные в форме «Сведения о сотрудниках, обладающих необходимой квалификацией, профессиональной подготовкой, специальными знаниями», должны подтверждаться, входящими в состав заявки участника следующими документами:</w:t>
      </w:r>
    </w:p>
    <w:p>
      <w:r>
        <w:t>- копии свидетельства, аттестата или диплома о прохождении сотрудником обучения;</w:t>
      </w:r>
    </w:p>
    <w:p>
      <w:r>
        <w:t>- копии трудовых книжек (электронных трудовых книжек) или копии действующих гражданско-правовых договоров, подтверждающих наличие трудовых отношений между сотрудниками и участником закупки.</w:t>
      </w:r>
    </w:p>
    <w:p>
      <w:r>
        <w:t>В случае предоставления информации не по рекомендуемой форме, указанная информация должна содержать все сведения предусмотренные рекомендуемой формой. В случае непредставления информации, предусмотренной Формой №9 «Сведения о сотрудниках, обладающих необходимой квалификацией, профессиональной подготовкой, специальными знаниями», или непредставления подтверждающих документов начисление баллов по данному детализирующему показателю не производится.</w:t>
      </w:r>
    </w:p>
    <w:p>
      <w:r>
        <w:t>Представленные документы должны быть в виде неповторяющихся, полно читаемых копий, на которых видны необходимые сведения, даты, подписи, печати. Копии указанных документов должны быть представлены в полном объеме со всеми приложениями, являющимися их неотъемлемой частью. Документы направляются в форме электронных документов или в форме электронных образов бумажных документов.</w:t>
      </w:r>
    </w:p>
    <w:p>
      <w:r>
        <w:t>Не предоставление в составе заявки на участие в конкурсе сведений/документов не является основанием для отказа в допуске к участию в электронном конкурсе.</w:t>
      </w:r>
    </w:p>
    <w:p>
      <w:r>
        <w:t>Предоставление недостоверных».</w:t>
      </w:r>
    </w:p>
    <w:p>
      <w:r>
        <w:t>Проанализировав сведения извещения о проведении конкурса Комиссия УФАС пришла к выводу, что порядок оценки в части требуемого перечня документов, а именно требования о предоставлении копии действующих гражданско-правовых договоров, является неправомерным для получения баллов, не соответствует п.30 Положения и положениям Закона о контрактной системе.</w:t>
      </w:r>
    </w:p>
    <w:p>
      <w:r>
        <w:t>При установленных обстоятельствах, в действиях Заказчика усматривается нарушение п. 4 ч. 2 ст. 42 Закона о контрактной системе.</w:t>
      </w:r>
    </w:p>
    <w:p>
      <w:r>
        <w:t>Довод жалобы является обоснованным.</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Мельничкин Е.В. обоснованной.</w:t>
      </w:r>
    </w:p>
    <w:p>
      <w:r>
        <w:t>2. Признать в действиях Заказчика нарушения п. 4 ч. 2 ст. 42 Закона о контрактной системе</w:t>
      </w:r>
    </w:p>
    <w:p>
      <w:r>
        <w:t>3. Выдать Заказчику, конкурсной комиссии и оператору электронной торговой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