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202500114959005760</w:t>
      </w:r>
    </w:p>
    <w:p>
      <w:r>
        <w:rPr>
          <w:b/>
        </w:rPr>
        <w:t xml:space="preserve">УФАС: </w:t>
      </w:r>
      <w:r>
        <w:t>УФАС по Санкт-Петербургу</w:t>
      </w:r>
    </w:p>
    <w:p>
      <w:r>
        <w:rPr>
          <w:b/>
        </w:rPr>
        <w:t xml:space="preserve">Дата решения: </w:t>
      </w:r>
      <w:r>
        <w:t>26.05.2025</w:t>
      </w:r>
    </w:p>
    <w:p>
      <w:r>
        <w:rPr>
          <w:b/>
        </w:rPr>
        <w:t xml:space="preserve">Исход: </w:t>
      </w:r>
      <w:r>
        <w:t>обоснована</w:t>
      </w:r>
    </w:p>
    <w:p>
      <w:r>
        <w:rPr>
          <w:b/>
        </w:rPr>
        <w:t xml:space="preserve">Закупка №: </w:t>
      </w:r>
      <w:r>
        <w:t>0372100008125000027</w:t>
      </w:r>
    </w:p>
    <w:p>
      <w:r>
        <w:rPr>
          <w:b/>
        </w:rPr>
        <w:t xml:space="preserve">Заказчик: </w:t>
      </w:r>
      <w:r>
        <w:t>Федеральное государственное бюджетное научное учреждение «Институт экспериментальной медицины»</w:t>
      </w:r>
    </w:p>
    <w:p>
      <w:r>
        <w:rPr>
          <w:b/>
        </w:rPr>
        <w:t xml:space="preserve">Заявитель: </w:t>
      </w:r>
      <w:r>
        <w:t>ООО «Охранная организация »Русская балтика"</w:t>
      </w:r>
    </w:p>
    <w:p>
      <w:r>
        <w:rPr>
          <w:b/>
        </w:rPr>
        <w:t xml:space="preserve">Первоисточник в ЕИС: </w:t>
      </w:r>
      <w:r>
        <w:t>https://zakupki.gov.ru/epz/complaint/card/complaint-information.html?complaintNumber=202500114959005760</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ФГБНУ «Институт экспериментальной медицины»</w:t>
              <w:br/>
              <w:t>ул. Академика Павлова, д. 12, лит. Д,</w:t>
              <w:br/>
              <w:t>Санкт-Петербург, 197022</w:t>
              <w:br/>
              <w:t>эл. почта: ogz@iemspb.ru</w:t>
              <w:br/>
              <w:t>ООО «РТС-тендер»</w:t>
              <w:br/>
              <w:t>наб. Тараса Шевченко, д. 23А,</w:t>
              <w:br/>
              <w:t>Москва, 121151</w:t>
              <w:br/>
              <w:t>факс: +7 (495) 733-95-19</w:t>
              <w:br/>
              <w:t>ООО «ОО «РУССКАЯ БАЛТИКА»</w:t>
              <w:br/>
              <w:t>пер. Красногвардейский, д. 23, лит. Е, пом. 1Н, ком. 82,</w:t>
              <w:br/>
              <w:t>Санкт-Петербург, 197342</w:t>
              <w:br/>
              <w:t>эл. почта: info@rusbaltika.ru</w:t>
            </w:r>
          </w:p>
        </w:tc>
      </w:tr>
    </w:tbl>
    <w:p>
      <w:r>
        <w:t>РЕШЕНИЕ</w:t>
      </w:r>
    </w:p>
    <w:p>
      <w:r>
        <w:t>по делу № 44-1256/25</w:t>
      </w:r>
    </w:p>
    <w:p>
      <w:r>
        <w:t>о нарушении законодательства о контрактной системе</w:t>
      </w:r>
    </w:p>
    <w:p>
      <w:r>
        <w:t>26.05.2025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представителя ООО «ОО «РУССКАЯ БАЛТИКА» (далее – Заявитель):;</w:t>
      </w:r>
    </w:p>
    <w:p>
      <w:r>
        <w:t>в отсутствие представителей ФГБНУ «Институт экспериментальной медицины» (далее – Заказчик),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11945/25 от 21.05.2025) на действия Заказчика при определении исполнителя путем проведения открытого конкурса в электронной форме на оказание охранных услуг (с требованиями к антитеррористической защищенности) для нужд ФГБНУ «ИЭМ» (извещение № 0372100008125000027)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04.03.2025 в единой информационной системе, номер извещения 0372100008125000027. Начальная (максимальная) цена контракта – 11 245 512,00 рублей.</w:t>
      </w:r>
    </w:p>
    <w:p>
      <w:r>
        <w:t>В жалобе Заявитель указывает на неправомерные действия Заказчика, выразившиеся, по мнению Заявителя, установлении ненадлежащих требований к участникам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В соответствии с п. 12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требования, предъявляемые к участникам закупки в соответствии с п. 1 ч. 1 ст. 31 Закона о контрактной системе, требования, предъявляемые к участникам закупки в соответствии с чч. 2 и 2.1 (при наличии таких требований) ст. 31 Закона о контрактной системе, и исчерпывающий перечень документов, подтверждающих соответствие участника закупки таким требованиям, а также требование, предъявляемое к участникам закупки в соответствии с ч. 1.1 ст. 31 Закона о контрактной системе (при наличии такого требования).</w:t>
      </w:r>
    </w:p>
    <w:p>
      <w:r>
        <w:t>В соответствии с п. 1 ч. 1 ст. 31 Закона о контрактной системе при осуществлении закупки заказчик устанавливает следующие единые требования к участникам закупки: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
        <w:t>При этом, в соответствии с ч. 6 ст. 31 Закона о контрактной системе, Заказчики не вправе устанавливать требования к участникам закупок в нарушение требований настоящего Федерального закона.</w:t>
      </w:r>
    </w:p>
    <w:p>
      <w:r>
        <w:t>Согласно ч. 1 ст. 49 Гражданского кодекса Российской Федерации в случаях, предусмотренных законом, юридическое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
        <w:t>Таким образом, действующим законодательством установлено императивное требование о необходимости наличия лицензии (свидетельства, разрешения) непосредственно у участника закупки.</w:t>
      </w:r>
    </w:p>
    <w:p>
      <w:r>
        <w:t>Указанное требование вызвано необходимостью оказания услуг в рамках правоспособности хозяйствующего субъекта, обусловленной наличием лицензии (свидетельства) на осуществление деятельности, относящейся к предмету закупки.</w:t>
      </w:r>
    </w:p>
    <w:p>
      <w:r>
        <w:t>Учитывая изложенное, при подтверждении соответствия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участник закупки представляет указанные в документации о закупке документы и сведения самого участника закупки, а не иных юридических лиц, с которыми участник закупки осуществляет совместную деятельность.</w:t>
      </w:r>
    </w:p>
    <w:p>
      <w:r>
        <w:t>Аналогичная позиция изложена в определении Верховного Суда Российской Федерации № 271-ПЭК18 от 12 ноября 2018 г. в котором указано, что последующее возможное привлечение соисполнителей оказываемых услуг не подтверждает соответствие заявки участника требованиям аукционной документации и возможность его участия в аукционе, поскольку ч. 1 ст. 31 Закона о контрактной системе установлены требования к участникам закупки, а не к соисполнителям.</w:t>
      </w:r>
    </w:p>
    <w:p>
      <w:r>
        <w:t>В соответствии со ст. 12 Федерального закона от 04.05.2011 № 99-ФЗ «О лицензировании отдельных видов деятельности» (далее – Федеральный закон № 99-ФЗ), утвержден перечень видов деятельности, подлежащих лицензированию.</w:t>
      </w:r>
    </w:p>
    <w:p>
      <w:r>
        <w:t>Согласно п. 32 ст. 12 Федерального закона № 99-ФЗ частная охранная деятельность; относится к видам деятельности, подлежащих лицензированию.</w:t>
      </w:r>
    </w:p>
    <w:p>
      <w:r>
        <w:t>В силу ст. 3 Закона РФ от 11.03.1992 № 2487-1 «О частной детективной и охранной деятельности в Российской Федерации» в целях охраны разрешается предоставление следующих видов услуг:</w:t>
      </w:r>
    </w:p>
    <w:p>
      <w:r>
        <w:t>1) защита жизни и здоровья граждан;</w:t>
      </w:r>
    </w:p>
    <w:p>
      <w:r>
        <w:t>2)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 7 настоящей части;</w:t>
      </w:r>
    </w:p>
    <w:p>
      <w:r>
        <w:t>3) охрана объектов и (или) имущества на объектах с осуществлением работ по проектированию, монтажу и эксплуатационному обслуживанию технических средств охраны, перечень видов которых устанавливается Правительством Российской Федерации, и (или) с принятием соответствующих мер реагирования на их сигнальную информацию;</w:t>
      </w:r>
    </w:p>
    <w:p>
      <w:r>
        <w:t>4) консультирование и подготовка рекомендаций клиентам по вопросам правомерной защиты от противоправных посягательств;</w:t>
      </w:r>
    </w:p>
    <w:p>
      <w:r>
        <w:t>5) обеспечение порядка в местах проведения массовых мероприятий;</w:t>
      </w:r>
    </w:p>
    <w:p>
      <w:r>
        <w:t>6) обеспечение внутриобъектового и пропускного режимов на объектах, за исключением объектов, предусмотренных п. 7 настоящей части;</w:t>
      </w:r>
    </w:p>
    <w:p>
      <w:r>
        <w:t>7)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 11 настоящего Закона.</w:t>
      </w:r>
    </w:p>
    <w:p>
      <w:r>
        <w:t>Организации, осуществляющие частную охранную деятельность, оказывают содействие правоохранительным органам в обеспечении правопорядка, в том числе в местах оказания охранных услуг и на прилегающих к ним территориях, а частные детективы оказывают содействие правоохранительным органам в предупреждении и раскрытии преступлений, предупреждении и пресечении административных правонарушений в порядке, установленном Правительством Российской Федерации.</w:t>
      </w:r>
    </w:p>
    <w:p>
      <w:r>
        <w:t>Физическим и юридическим лицам, не имеющим правового статуса частного детектива, частного охранника или частной охранной организации, запрещается оказывать услуги, предусмотренные настоящей статьей.</w:t>
      </w:r>
    </w:p>
    <w:p>
      <w:r>
        <w:t>Анализ извещения об осуществлении закупки показал, что в нём содержатся следующие требования к участникам закупки:</w:t>
      </w:r>
    </w:p>
    <w:p>
      <w:r>
        <w:t>«Наличие действующей лицензии на право оказания охранных услуг с открытым пунктом 7 вида охранной деятельности, а именно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 11 Закона РФ от 11.03.1992 N 2487-1 "О частной детективной и охранной деятельности в Российской Федерации".».</w:t>
      </w:r>
    </w:p>
    <w:p>
      <w:r>
        <w:t>В силу ч. 3 ст. 7 Закона о контрактной системе, информация, предусмотренная указанным Федеральным законом и размещенная в единой информационной системе, должна быть полной и достоверной.</w:t>
      </w:r>
    </w:p>
    <w:p>
      <w:r>
        <w:t>В силу п.1 ч. 2 ст. 42 Закона о контрактной системе Извещение об осуществлении закупки, если иное не предусмотрено настоящим Федеральным законом, должно содержать следующий электронный документ: описание объекта закупки в соответствии со статьей 33 Закона о контрактной системе.</w:t>
      </w:r>
    </w:p>
    <w:p>
      <w:r>
        <w:t>Описание объекта закупки установлено в электронном документе к извещению об осуществлении закупки и содержит следующее:</w:t>
      </w:r>
    </w:p>
    <w:p>
      <w:r>
        <w:t>Наличие лицензии на осуществление частной охранной деятельности (с приложением перечня разрешенных видов охранных услуг) в соответствии с ч. 1 ст.11 Закона Российской Федерации от 11 марта 1992 г. № 2487-1 «О частной детективной и охранной деятельности в Российской Федерации», постановлением Правительства Российской Федерации от 23 июня 2011 г. № 498 «О некоторых вопросах осуществления частной детективной (сыскной) и частной охранной деятельности».</w:t>
      </w:r>
    </w:p>
    <w:p>
      <w:r>
        <w:t>ПЕРЕЧЕНЬ РАЗРЕШЕННЫХ ВИДОВ УСЛУГ (в соответствии с наименованиями, указанными в части третьей ст.3 Закона № 2487-1 «О частной детективной и охранной деятельности в Российской Федерации»</w:t>
      </w:r>
    </w:p>
    <w:p>
      <w:r>
        <w:t>- защита жизни и здоровья граждан;</w:t>
      </w:r>
    </w:p>
    <w:p>
      <w:r>
        <w:t>-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 11 Закона РФ от 11.03.1992 2487-1 «О частной детективной и охранной деятельности в Российской Федерации»;</w:t>
      </w:r>
    </w:p>
    <w:p>
      <w:r>
        <w:t>- обеспечение внутриобъектового и пропускного режимов на объектах, за исключением объектов, предусмотренных пунктом 7 статьи 3 Закона РФ от 11.03.1992 2487-1 «О частной детективной и охранной деятельности в Российской Федерации»;</w:t>
      </w:r>
    </w:p>
    <w:p>
      <w:r>
        <w:t>- консультирование и подготовка рекомендаций клиентам по вопросам правомерной защиты от противоправных посягательств.</w:t>
      </w:r>
    </w:p>
    <w:p>
      <w:r>
        <w:t>В соответствии с Федеральным законом от 27.05.1996г. № 57-ФЗ «О государственной охране» наличие лицензии не требуется на осуществление охранной деятельности в случае, если оказание услуг по охране объекта обеспечивают органы государственной охраны.</w:t>
      </w:r>
    </w:p>
    <w:p>
      <w:r>
        <w:t>Комиссия УФАС отмечает, что приведенные положения содержат противоречивую информацию об условии наличия необходимой действующей лицензии на осуществление частной охранной деятельности, а именно в части видов оказания услуг.</w:t>
      </w:r>
    </w:p>
    <w:p>
      <w:pPr>
        <w:pStyle w:val="Heading2"/>
      </w:pPr>
      <w:r>
        <w:t>мотивировочная часть</w:t>
      </w:r>
    </w:p>
    <w:p>
      <w:r>
        <w:t>Учитывая изложенное, Комиссия УФАС приходит к выводу о нарушении Заказчиком ч. 3 ст. 7 Закона о контрактной системе.</w:t>
      </w:r>
    </w:p>
    <w:p>
      <w:r>
        <w:t>3. Описание объекта закупки установлено в электронном документе к извещению об осуществлении закупки и содержит следующее:</w:t>
      </w:r>
    </w:p>
    <w:tbl>
      <w:tblPr>
        <w:tblStyle w:val="TableGrid"/>
        <w:tblW w:type="auto" w:w="0"/>
        <w:tblLook w:firstColumn="1" w:firstRow="1" w:lastColumn="0" w:lastRow="0" w:noHBand="0" w:noVBand="1" w:val="04A0"/>
      </w:tblPr>
      <w:tblGrid>
        <w:gridCol w:w="4320"/>
        <w:gridCol w:w="4320"/>
      </w:tblGrid>
      <w:tr>
        <w:tc>
          <w:tcPr>
            <w:tcW w:type="dxa" w:w="4320"/>
          </w:tcPr>
          <w:p>
            <w:r>
              <w:t>Наличие оружия у сотрудников мобильной группы</w:t>
            </w:r>
          </w:p>
        </w:tc>
        <w:tc>
          <w:tcPr>
            <w:tcW w:type="dxa" w:w="4320"/>
          </w:tcPr>
          <w:p>
            <w:r>
              <w:t>Да</w:t>
            </w:r>
          </w:p>
        </w:tc>
      </w:tr>
      <w:tr>
        <w:tc>
          <w:tcPr>
            <w:tcW w:type="dxa" w:w="4320"/>
          </w:tcPr>
          <w:p>
            <w:r>
              <w:t>Наличие оружия у сотрудников охраны</w:t>
            </w:r>
          </w:p>
        </w:tc>
        <w:tc>
          <w:tcPr>
            <w:tcW w:type="dxa" w:w="4320"/>
          </w:tcPr>
          <w:p>
            <w:r>
              <w:t>Нет</w:t>
            </w:r>
          </w:p>
        </w:tc>
      </w:tr>
    </w:tbl>
    <w:p>
      <w:r>
        <w:t>Кроме того, описанием предусмотрено условие: Наличие разрешения на хранение и использование оружия и патронов к нему, с приложением списка номерного учета оружия с указанием вида, модели, калибра, серии, номера каждой единицы оружия, разрешенного к хранению и использованию (ст. 4 и ч. 1 ст. 22 Федерального закона от 13 декабря 1996 г. № 150-ФЗ «Об оружии», п. 54 Правил оборота гражданского и служебного оружия и патронов к нему на территории Российской Федерации, утвержденных Постановлением Правительства Российской Федерации от 21 июля 1998 г. № 814 «О мерах по регулированию оборота гражданского и служебного оружия и патронов к нему на территории Российской Федерации».</w:t>
      </w:r>
    </w:p>
    <w:p>
      <w:r>
        <w:t>Поскольку объект закупки включает в себя требование о наличии оружия у сотрудников мобильной группы, Комиссия УФАС приходит к выводу о том, что в извещении об осуществлении закупки надлежало установить требование к участникам закупки о наличии разрешения на хранение и использование оружия и патронов к нему, а также о представлении в составе заявки указанного документа.</w:t>
      </w:r>
    </w:p>
    <w:p>
      <w:r>
        <w:t>Таким образом, в нарушение п.1 ч. 1 ст. 31 Закона о контрактной системе в извещении об осуществлении закупки не были установлены соответствующие требования.</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«ОО «РУССКАЯ БАЛТИКА» обоснованной.</w:t>
      </w:r>
    </w:p>
    <w:p>
      <w:r>
        <w:t>2. Признать в действиях Заказчика нарушение ч. 3 ст. 7, п.1 ч. 1 ст. 31 Закона о контрактной системе</w:t>
      </w:r>
    </w:p>
    <w:p>
      <w:r>
        <w:t>3. Выдать Заказчику, его комиссии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членов конкурсной комиссии Заказчика</w:t>
      </w:r>
    </w:p>
    <w:p>
      <w:r>
        <w:t>Настоящее решение может быть обжаловано в судебном порядке в течение трёх месяцев со дня принятия.</w:t>
      </w:r>
    </w:p>
    <w:p>
      <w:r>
        <w:t>6</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