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202500114959006810</w:t>
      </w:r>
    </w:p>
    <w:p>
      <w:r>
        <w:rPr>
          <w:b/>
        </w:rPr>
        <w:t xml:space="preserve">УФАС: </w:t>
      </w:r>
      <w:r>
        <w:t>УФАС по Санкт-Петербургу</w:t>
      </w:r>
    </w:p>
    <w:p>
      <w:r>
        <w:rPr>
          <w:b/>
        </w:rPr>
        <w:t xml:space="preserve">Дата решения: </w:t>
      </w:r>
      <w:r>
        <w:t>11.06.2025</w:t>
      </w:r>
    </w:p>
    <w:p>
      <w:r>
        <w:rPr>
          <w:b/>
        </w:rPr>
        <w:t xml:space="preserve">Исход: </w:t>
      </w:r>
      <w:r>
        <w:t>обоснована</w:t>
      </w:r>
    </w:p>
    <w:p>
      <w:r>
        <w:rPr>
          <w:b/>
        </w:rPr>
        <w:t xml:space="preserve">Закупка №: </w:t>
      </w:r>
      <w:r>
        <w:t>0172200004325000273</w:t>
      </w:r>
    </w:p>
    <w:p>
      <w:r>
        <w:rPr>
          <w:b/>
        </w:rPr>
        <w:t xml:space="preserve">Заказчик: </w:t>
      </w:r>
      <w:r>
        <w:t>Администрация Калининского района Санкт-Петербурга</w:t>
      </w:r>
    </w:p>
    <w:p>
      <w:r>
        <w:rPr>
          <w:b/>
        </w:rPr>
        <w:t xml:space="preserve">Заявитель: </w:t>
      </w:r>
      <w:r>
        <w:t>ООО «Урал автоматизация»</w:t>
      </w:r>
    </w:p>
    <w:p>
      <w:r>
        <w:rPr>
          <w:b/>
        </w:rPr>
        <w:t xml:space="preserve">Первоисточник в ЕИС: </w:t>
      </w:r>
      <w:r>
        <w:t>https://zakupki.gov.ru/epz/complaint/card/complaint-information.html?complaintNumber=202500114959006810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Калининского района Санкт-Петербурга</w:t>
              <w:br/>
              <w:t>наб. Арсенальная, д. 13/1,</w:t>
              <w:br/>
              <w:t>Санкт-Петербург, 195009</w:t>
              <w:br/>
              <w:t>эл. почта: zakazkalin@mail.ru</w:t>
              <w:br/>
              <w:t>ГБОУ гимназия № 148 имени Сервантеса Калининского района Санкт-Петербурга</w:t>
              <w:br/>
              <w:t>ул. Академика Константинова, д. 10, корп. 2, литер А,</w:t>
              <w:br/>
              <w:t>Санкт-Петербург, 195427</w:t>
              <w:br/>
              <w:t>ООО «РТС-тендер»</w:t>
              <w:br/>
              <w:t>наб. Тараса Шевченко, д. 23А,</w:t>
              <w:br/>
              <w:t>Москва, 121151</w:t>
              <w:br/>
              <w:t>факс: +7 (495) 733-95-19</w:t>
              <w:br/>
              <w:t>ООО «Урал Автоматизация»</w:t>
              <w:br/>
              <w:t>ул. Энтузиастов, д. 12, офис 610,</w:t>
              <w:br/>
              <w:t>Челябинск, 454080</w:t>
              <w:br/>
              <w:t>эл. почта: ua74.service@yandex.ru</w:t>
            </w:r>
          </w:p>
        </w:tc>
      </w:tr>
    </w:tbl>
    <w:p>
      <w:r>
        <w:t>РЕШЕНИЕ</w:t>
      </w:r>
    </w:p>
    <w:p>
      <w:r>
        <w:t>по делу № 44-1504/25</w:t>
      </w:r>
    </w:p>
    <w:p>
      <w:r>
        <w:t>о нарушении законодательства о контрактной системе</w:t>
      </w:r>
    </w:p>
    <w:p>
      <w:r>
        <w:t>11.06.2025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представителя ООО «Урал Автоматизация» (далее – Заявитель):</w:t>
      </w:r>
    </w:p>
    <w:p>
      <w:r>
        <w:t>в отсутствие представителей Администрации Калининского района Санкт-Петербурга (далее – Уполномоченный орган), ГБОУ гимназия № 148 имени Сервантеса Калининского района Санкт-Петербурга (далее – Заказчик): уведомлённых о времени и месте рассмотрения жалобы,</w:t>
      </w:r>
    </w:p>
    <w:p>
      <w:pPr>
        <w:pStyle w:val="Heading2"/>
      </w:pPr>
      <w:r>
        <w:t>описательная часть</w:t>
      </w:r>
    </w:p>
    <w:p>
      <w:r>
        <w:t>рассмотрев посредством системы видеоконференцсвязи жалобу Заявителя (вх. № 13549/25 от 06.06.2025) на действия Заказчика при определении (подрядчика, исполнителя) путем проведения электронного аукциона на поставку компьютерной техники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29.05.2025 на Официальном сайте Единой информационной системы в сфере закупок www.zakupki.gov.ru (далее – ЕИС), номер извещения 0172200004325000273. Начальная (максимальная) цена контракта – 11 833 867, 09 рублей.</w:t>
      </w:r>
    </w:p>
    <w:p>
      <w:r>
        <w:t>В своей жалобе Заявитель указывает на допущенные Заказчиком нарушения при формировании извещения о проведении аукциона.</w:t>
      </w:r>
    </w:p>
    <w:p>
      <w:r>
        <w:t>Комиссия УФАС, ознакомившись с представленными документами и информацией, в том числе, содержащейся в ЕИС, заслушав пояснения Заявителя, приходит к следующим выводам</w:t>
      </w:r>
    </w:p>
    <w:p>
      <w:r>
        <w:t>1. По первому доводу жалобы Заявитель указывает на противоречивость и неструктурированность сведений, содержащихся в извещении и документации о закупке, а также на отсутствие согласованности между данными, размещёнными в структурированной части извещения и приложенными файлами.</w:t>
      </w:r>
    </w:p>
    <w:p>
      <w:r>
        <w:t>Комиссией УФАС установлено, что указанные обстоятельства действительно имели место, в частности, как верно было указано Заявителем, Заказчиком размещена информация о требуемом к поставке товаре, как в структурированной форме извещения, так и в приложении «1._Описание_объекта_закупки[10].docx», содержащем текстовое описание объекта закупки. Между тем, указанные источники содержат взаимоисключающие сведения, что свидетельствует о наличии внутреннего противоречия в документации.</w:t>
      </w:r>
    </w:p>
    <w:p>
      <w:r>
        <w:t>Так, в структурированной части извещения указано, что Заказчику требуется к поставке товар «Мобильный компьютерный класс» в количестве 2 (двух) штук, с приведением характеристик, относящихся к ноутбукам и тележке-хранилищу с системой подзарядки.</w:t>
      </w:r>
    </w:p>
    <w:p>
      <w:r>
        <w:t>Вместе с тем, согласно информации, содержащейся в приложенном текстовом документе, Заказчику требуется поставка двух «мобильных компьютерных классов», включающих в себя 16 ноутбуков и 1 тележку-хранилище с системой подзарядки.</w:t>
      </w:r>
    </w:p>
    <w:p>
      <w:r>
        <w:t>Таким образом, между сведениями, размещёнными в структурированной форме извещения и в приложении «1._Описание_объекта_закупки[10].docx», имеется явное несоответствие. В структурированной части указано, что к поставке требуется 2 единицы товара «Мобильный компьютерный класс» без расшифровки состава каждой единицы, тогда как в приложении уточняется, что один «мобильный компьютерный класс» включает 16 ноутбуков и одну тележку-хранилище с системой подзарядки.</w:t>
      </w:r>
    </w:p>
    <w:p>
      <w:r>
        <w:t>В результате представления противоречивой информации отсутствует точное и однозначное понимание, какое именно количество ноутбуков и тележек-хранилищ с системой подзарядки подлежит поставке по условиям закупки: то ли 16 ноутбуков и 1 тележку, как может быть истолковано из структурированной части, то ли 32 ноутбука и 2 тележки. Такое расхождение существенно затрудняет корректную подготовку заявок, нарушает принципы открытости, достоверности и равного доступа, установленные Законом о контрактной системе, и приводит к неопределённости предмета закупки.</w:t>
      </w:r>
    </w:p>
    <w:p>
      <w:pPr>
        <w:pStyle w:val="Heading2"/>
      </w:pPr>
      <w:r>
        <w:t>резолютивная часть</w:t>
      </w:r>
    </w:p>
    <w:p>
      <w:r>
        <w:t>Согласно ст. 7 Закона о контрактной системе, в Российской Федерации обеспечивается свободный и безвозмездный доступ к информации о контрактной системе в сфере закупок, а открытость и прозрачность такой информации обеспечиваются путём её размещения в единой информационной системе (ЕИС). При этом, часть 3 указанной статьи прямо предписывает, что информация, размещаемая в ЕИС, должна быть полной и достоверной.</w:t>
      </w:r>
    </w:p>
    <w:p>
      <w:r>
        <w:t>Однако в рассматриваемом случае размещённые сведения носили противоречивый и фрагментарный характер, что повлекло дезориентацию участников закупки и нарушение принципов открытости и равного доступа.</w:t>
      </w:r>
    </w:p>
    <w:p>
      <w:r>
        <w:t>Кроме того, согласно п. 1 ч. 2 ст. 42 Закона о контрактной системе, извещение об осуществлении закупки, если иное не предусмотрено указанным законом, должно содержать описание объекта закупки, сформированное в соответствии со ст. 33 Закона о контрактной системе.</w:t>
      </w:r>
    </w:p>
    <w:p>
      <w:r>
        <w:t>В силу п.п. 1, 2 ч. 1 ст. 33 указанного закона, в описании объекта закупки должны быть указаны функциональные, технические, качественные и, при необходимости, эксплуатационные характеристики объекта. Такие характеристики должны быть изложены с применением терминологии и показателей, предусмотренных техническими регламентами и стандартами, а также содержать значения, позволяющие однозначно определить соответствие поставляемого товара установленным требованиям, включая максимальные, минимальные или фиксированные параметры, не подлежащие изменению.</w:t>
      </w:r>
    </w:p>
    <w:p>
      <w:r>
        <w:t>Часть 2 ст. 33 Закона о контрактной системе прямо указывает, что описание объекта закупки должно включать такие показатели, которые позволяют точно и однозначно определить соответствие закупаемого товара, работы или услуги установленным требованиям заказчика.</w:t>
      </w:r>
    </w:p>
    <w:p>
      <w:r>
        <w:t>Между тем, при наличии в извещении существенных расхождений между данными, представленными в структурированной и неструктурированной формах, а также отсутствия единых формулировок состава и количества поставляемых товаров, становится невозможным определить реальный объём поставки, фактическое содержание объекта закупки и, следовательно, конкретную потребность Заказчика.</w:t>
      </w:r>
    </w:p>
    <w:p>
      <w:r>
        <w:t>Таким образом, при отсутствии согласованного, точного и однозначного описания объекта закупки, сформированного в соответствии с требованиями ст. 33 Закона о контрактной системе, в том числе, без указания обязательных количественных и составных характеристик, невозможно говорить о соблюдении Заказчиком установленных законодательных требований при формировании извещения. Нарушенные нормы носят фундаментальный характер и препятствуют законному и добросовестному участию в закупке.</w:t>
      </w:r>
    </w:p>
    <w:p>
      <w:r>
        <w:t>Учитывая указанные обстоятельства, Комиссия УФАС наводит довод Заявителя обоснованным, а в действиях Заказчика усматривает нарушение ч. 3 ст. 7, п. 1 ч. 2 ст. 42 (ч. 2 ст. 33) Закона о контрактной системе.</w:t>
      </w:r>
    </w:p>
    <w:p>
      <w:r>
        <w:t>2. В рамках второго довода Заявитель обоснованно указывает на несоблюдение Заказчиком требований законодательства при формировании извещения в части выбора кода позиции Классификатора товаров, работ и услуг (КТРУ), применяемого к закупаемому товару. В соответствии с ч. 6 ст. 23 Закона о контрактной системе, заказчик обязан использовать код позиции каталога КТРУ, если такая позиция имеется и соответствует предмету закупки.</w:t>
      </w:r>
    </w:p>
    <w:p>
      <w:r>
        <w:t>Так, согласно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 6 ст.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силу ч. 6 ст.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Правила использования каталога товаров, работ, услуг для обеспечения государственных и муниципальных нужд (далее – Правила использования КТРУ) установлены Постановлением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
        <w:t>Пунктом 3 Правил использования КТРУ установлено, что заказчики вправе применять информацию, которая включена в позицию каталога, с даты ее включения в каталог независимо от даты обязательного ее применения в соответствии с п. 18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
        <w:t>Согласно п. 4 Правил использования КТРУ, заказчики обязаны применять информацию, включенную в позицию каталога в соответствии с подпунктами «б» - «г» и «е» - «з» п.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 145,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Пунктами 5-6 Правил использования КТРУ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случае предоставления дополнительной информации, предусмотренной п.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КТРУ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 1 ч. 1 ст.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 1 ст. 42, п. 1 ч. 1 ст. 75 Федерального закона соответственно.</w:t>
      </w:r>
    </w:p>
    <w:p>
      <w:r>
        <w:t>Как установлено в ходе рассмотрения жалобы, товары, подлежащие закупке, имеют прямое соответствие действующим позициям КТРУ, обязательным для применения. Так, Каталог содержит коды позиций КТРУ 26.20.11.110-000000001, 26.20.11.110-00000138 и 26.20.11.110-00000145 (дата начала обязательного применения 16.06.2024), которым соответствует товар — ноутбук. Указанные позиции КТРУ содержат обязательные характеристики, не допускающие внесения дополнительных сведений со стороны Заказчика.</w:t>
      </w:r>
    </w:p>
    <w:p>
      <w:r>
        <w:t>Кроме того, товары, соответствующие коду ОКПД2 26.20.11, включены в позиции № 195 Приложения № 2 к Постановлению Правительства РФ от 23.12.2024 № 1875, в отношении которых установлен запрет на допуск товаров, происходящих из иностранных государств. Таким образом, при закупке таких товаров Заказчик обязан применять не только ограничения допуска, но и положения о национальном режиме, включая требование о наличии подтверждающих документов, регистрационного номера и включения товара в реестр российской радиоэлектронной продукции.</w:t>
      </w:r>
    </w:p>
    <w:p>
      <w:r>
        <w:t>Также Каталог содержит позицию КТРУ 26.20.15.000-00000439, соответствующую товару «Тележка-хранилище с системой подзарядки», обязательная дата применения которой установлена с 18.06.2024. Эта позиция также содержит исчерпывающий перечень характеристик, не допускающих отклонений или указания дополнительных требований.</w:t>
      </w:r>
    </w:p>
    <w:p>
      <w:r>
        <w:t>Таким образом, Заказчик при описании объекта закупки был обязан использовать характеристики, содержащиеся в КТРУ, вместе с тем, в рассматриваемом случае Заказчик пренебрег указанным требованием, чем допустил нарушение п. 5 ч. 1 ст. 42, ч. 6 ст. 23 Закона о контрактной системе.</w:t>
      </w:r>
    </w:p>
    <w:p>
      <w:r>
        <w:t>3. По третьему доводу Заявителя о нарушении требований национального режима и неправомерном установлении преимуществ вместо запретов в отношении товара «Мобильный компьютерный класс», Комиссия УФАС отмечает следующее.</w:t>
      </w:r>
    </w:p>
    <w:p>
      <w:r>
        <w:t>Согласно ч. 1 ст. 14 Закона о контрактной системе, при осуществлении закупок действует режим недискриминационного допуска, в рамках которого предоставляются равные условия для товаров, работ и услуг, вне зависимости от их происхождения или юрисдикции лица, предлагающего такие товары, работы или услуги. Исключения из указанного режима допускаются лишь в случаях, предусмотренных частью 2 статьи 14 указанного закона, когда уполномоченным органом приняты соответствующие нормативные акты.</w:t>
      </w:r>
    </w:p>
    <w:p>
      <w:r>
        <w:t>Указанными актами могут устанавливаться</w:t>
      </w:r>
    </w:p>
    <w:p>
      <w:r>
        <w:t>– запреты на допуск отдельных видов товаров (в том числе поставляемых при выполнении работ или оказании услуг), работ, услуг;</w:t>
      </w:r>
    </w:p>
    <w:p>
      <w:r>
        <w:t>– ограничения допуска, в том числе при наличии предложений о поставке товаров определённого происхождения;</w:t>
      </w:r>
    </w:p>
    <w:p>
      <w:r>
        <w:t>– предоставление преимуществ товарам, работам, услугам, произведённым или выполняемым на территории определённых государств.</w:t>
      </w:r>
    </w:p>
    <w:p>
      <w:r>
        <w:t>Комиссией УФАС установлено, что при формировании извещения о проведении закупки Заказчиком необоснованно установлен режим предоставления преимущества, в то время, как в силу требований законодательства и условий применения Постановления Правительства РФ от 23.12.2024 № 1875, к рассматриваемому объекту закупки подлежал применению именно запрет на допуск иностранных товаров.</w:t>
      </w:r>
    </w:p>
    <w:p>
      <w:r>
        <w:t>Согласно пункту 1 Постановления № 1875, установлен перечень товаров, при закупке которых Заказчик обязан применять ограничения, запреты или условия допуска в отношении продукции, происходящей из иностранных государств. К числу таких товаров отнесён товар «Мобильный компьютерный класс», соответствующий коду ОКПД2 26.20.11.180, включённый в позицию № 195 приложения № 2 к Постановлению № 1875. Согласно подпункту «б» пункта 4 Постановления № 1875, в случае, если объект закупки включает хотя бы один товар, указанный в перечне № 1 или № 2, применение режима преимущества недопустимо, а должен применяться режим запрета допуска иностранных товаров.</w:t>
      </w:r>
    </w:p>
    <w:p>
      <w:r>
        <w:t>Между тем, как следует из сведений, содержащихся в структурированной части извещения и приложении «1._Описание_объекта_закупки[10].docx», Заказчик рассматривал товар «Мобильный компьютерный класс» как единый объект, включающий в себя ноутбуки (позиции КТРУ 26.20.11.110-000000001, 00000138, 00000145) и тележку-хранилище с системой подзарядки (позиция КТРУ 26.20.15.000-00000439), каждая из которых включена в обязательные позиции КТРУ, и, что критически важно — в перечень продукции, к которой применяются ограничения и запреты в рамках Постановления № 1875.</w:t>
      </w:r>
    </w:p>
    <w:p>
      <w:r>
        <w:t>Таким образом, совокупный объект закупки состоит из отдельных товаров, каждый из которых подпадает под действие соответствующих запретительных норм, однако Заказчик необоснованно объединил их под одним наименованием «Мобильный компьютерный класс», формально избежав отнесения закупки к объекту применения запрета, и установив режим предоставления преимущества.</w:t>
      </w:r>
    </w:p>
    <w:p>
      <w:r>
        <w:t>Подобное объединение разнородных по своему функционалу, назначению и способу применения товаров, не имеющее нормативного основания искажает правовой режим закупки и приводит к лишению российских производителей установленного Законом приоритета в допуске к участию в закупке. Тем самым, Заказчиком нарушены положения п. 15 ч. 1 ст. 42 в части несоблюдения требований национального режима, предусмотренных статьей 14 указанного закона.</w:t>
      </w:r>
    </w:p>
    <w:p>
      <w:r>
        <w:t>4. Выявленные в действиях Заказчика нарушения являются существенными, что дает основание для выдачи обязательного для исполнения предписания об их устранении.</w:t>
      </w:r>
    </w:p>
    <w:p>
      <w:r>
        <w:t>Комиссия УФАС, руководствуясь ст. ст. 2, 99, 106 Закона о контрактной системе,</w:t>
      </w:r>
    </w:p>
    <w:p>
      <w:r>
        <w:t>РЕШИЛА:</w:t>
      </w:r>
    </w:p>
    <w:p>
      <w:r>
        <w:t>Признать жалобу ООО «Урал Автоматизация» обоснованной.</w:t>
      </w:r>
    </w:p>
    <w:p>
      <w:r>
        <w:t>Признать в действиях Заказчика нарушения ч. 3 ст. 7, п. 1 ч. 2 ст. 42 (ч. 2 ст. 33), п. 5 ч. 1 ст. 42 (ч. 6 ст. 23), п. 15 ч. 1 ст. 42 (п. 1 ч. 2 ст. 14) Закона о контрактной системе.</w:t>
      </w:r>
    </w:p>
    <w:p>
      <w:r>
        <w:t>Выдать Уполномоченному органу, Заказчику, комиссии по осуществлению закупок и оператору электронной площадки обязательное для исполнения предписание об устранении выявленных нарушений.</w:t>
      </w:r>
    </w:p>
    <w:p>
      <w:r>
        <w:t>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8</w:t>
      </w:r>
    </w:p>
    <w:p>
      <w:pPr>
        <w:pStyle w:val="Heading1"/>
      </w:pPr>
      <w:r>
        <w:t>Предписание</w:t>
      </w:r>
    </w:p>
    <w:p>
      <w:pPr>
        <w:pStyle w:val="Heading2"/>
      </w:pPr>
      <w:r>
        <w:t>вводная часть</w:t>
      </w:r>
    </w:p>
    <w:p>
      <w:r>
        <w:t>Администрация Калининского района Санкт-Петербурга</w:t>
      </w:r>
    </w:p>
    <w:p>
      <w:r>
        <w:t>наб. Арсенальная, д. 13/1,</w:t>
      </w:r>
    </w:p>
    <w:p>
      <w:r>
        <w:t>Санкт-Петербург, 195009</w:t>
      </w:r>
    </w:p>
    <w:p>
      <w:r>
        <w:t>эл. почта: zakazkalin@mail.ru</w:t>
      </w:r>
    </w:p>
    <w:p>
      <w:r>
        <w:t>ГБОУ гимназия № 148 имени Сервантеса Калининского района Санкт-Петербурга</w:t>
      </w:r>
    </w:p>
    <w:p>
      <w:r>
        <w:t>ул. Академика Константинова, д. 10, корп. 2, литер А,</w:t>
      </w:r>
    </w:p>
    <w:p>
      <w:r>
        <w:t>Санкт-Петербург, 195427</w:t>
      </w:r>
    </w:p>
    <w:p>
      <w:r>
        <w:t>ООО «РТС-тендер»</w:t>
      </w:r>
    </w:p>
    <w:p>
      <w:r>
        <w:t>наб. Тараса Шевченко, д. 23А,</w:t>
      </w:r>
    </w:p>
    <w:p>
      <w:r>
        <w:t>Москва, 121151</w:t>
      </w:r>
    </w:p>
    <w:p>
      <w:r>
        <w:t>тел.: +7 (495) 733-95-19</w:t>
      </w:r>
    </w:p>
    <w:p>
      <w:r>
        <w:t>ООО «Урал Автоматизация»</w:t>
      </w:r>
    </w:p>
    <w:p>
      <w:r>
        <w:t>ул. Энтузиастов, д. 12, офис 610,</w:t>
      </w:r>
    </w:p>
    <w:p>
      <w:r>
        <w:t>Челябинск, 454080</w:t>
      </w:r>
    </w:p>
    <w:p>
      <w:r>
        <w:t>эл. почта: ua74.service@yandex.ru</w:t>
      </w:r>
    </w:p>
    <w:p>
      <w:r>
        <w:t>ПРЕДПИСАНИЕ</w:t>
      </w:r>
    </w:p>
    <w:p>
      <w:r>
        <w:t>об устранении нарушений законодательства о закупках</w:t>
      </w:r>
    </w:p>
    <w:p>
      <w:r>
        <w:t>по делу № 44-1504/25</w:t>
      </w:r>
    </w:p>
    <w:p>
      <w:r>
        <w:t>11.06.2025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44-1504/25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Администрации Калининского района Санкт-Петербурга, Заказчику – ГБОУ гимназия № 148 имени Сервантеса Калининского района Санкт-Петербурга, аукционной комиссии устранить нарушения ч. 3 ст. 7, п. 1 ч. 2 ст. 42 (ч. 2 ст. 33), п. 5 ч. 1 ст. 42 (ч. 6 ст. 23), п. 15 ч. 1 ст. 42 (п. 1 ч. 2 ст. 14)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0172200004325000273;</w:t>
      </w:r>
    </w:p>
    <w:p>
      <w:r>
        <w:t>- внести изменения в извещение об аукционе,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аукционе с номером извещения 0172200004325000273 в соответствии с требованиями законодательства о контрактной системе;</w:t>
      </w:r>
    </w:p>
    <w:p>
      <w:r>
        <w:t>- завершить процедуру закупки с номером извещения 0172200004325000273 в соответствии с законодательством о контрактной системе.</w:t>
      </w:r>
    </w:p>
    <w:p>
      <w:r>
        <w:t>2. Уполномоченному органу,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18.07.2025.</w:t>
      </w:r>
    </w:p>
    <w:p>
      <w:r>
        <w:t>3. Оператору электронной площадки – ООО «РТС-тендер»:</w:t>
      </w:r>
    </w:p>
    <w:p>
      <w:r>
        <w:t>- обеспечить Уполномоченному органу, Заказчику техническую возможность для исполнения пункта 1 настоящего предписания;</w:t>
      </w:r>
    </w:p>
    <w:p>
      <w:r>
        <w:t>- прекратить блокирование операций по счетам для проведения операций по обеспечению участия в открытых аукционах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