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202500114959007025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18.06.2025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0372200244225000004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культуры «Санкт-Петербургский академический театр имени Ленсовета»</w:t>
      </w:r>
    </w:p>
    <w:p>
      <w:r>
        <w:rPr>
          <w:b/>
        </w:rPr>
        <w:t xml:space="preserve">Заявитель: </w:t>
      </w:r>
      <w:r>
        <w:t>ООО «Охранная организация »Теос СПБ"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https://zakupki.gov.ru/epz/complaint/card/complaint-information.html?complaintNumber=202500114959007025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ГБУК «Санкт-Петербургский академический театр</w:t>
              <w:br/>
              <w:t>имени Ленсовета»</w:t>
              <w:br/>
              <w:t>пр-кт Владимирский, д.12,</w:t>
              <w:br/>
              <w:t>Санкт-Петербург, 191025</w:t>
              <w:br/>
              <w:t>эл. почта: sveta.lensov@mail.ru</w:t>
              <w:br/>
              <w:t>ООО «ОО «ТЕОС СПБ»</w:t>
              <w:br/>
              <w:t>ш. Московское, д. 13Д, лит. Ж, офис 3, помещ. 2Н,</w:t>
              <w:br/>
              <w:t>Санкт-Петербург, 196246</w:t>
              <w:br/>
              <w:t>эл. почта: teosspb@mail.ru</w:t>
            </w:r>
          </w:p>
        </w:tc>
      </w:tr>
    </w:tbl>
    <w:p>
      <w:r>
        <w:t>РЕШЕНИЕ</w:t>
      </w:r>
    </w:p>
    <w:p>
      <w:r>
        <w:t>по делу №078/06/105-890/2025</w:t>
      </w:r>
    </w:p>
    <w:p>
      <w:r>
        <w:t>о нарушении законодательства о контрактной системе</w:t>
      </w:r>
    </w:p>
    <w:p>
      <w:r>
        <w:t>18.06.2025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ГБУК «Санкт-Петербургский академический театр имени Ленсовета» (далее – Заказчик):</w:t>
      </w:r>
    </w:p>
    <w:p>
      <w:r>
        <w:t>ООО «ОО «ТЕОС СПБ»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14085/25 от 11.06.2025) на действия СПБ ГБУК "САНКТ-ПЕТЕРБУРГСКИЙ АКАДЕМИЧЕСКИЙ ТЕАТР ИМЕНИ ЛЕНСОВЕТА", (далее – Заказчик), при определении (подрядчика, исполнителя) путем проведения конкурса на оказание охранных услуг: охрана объектов и имущества, а также обеспечение внутриобъектового и пропускного режимов на объектах СПб ГБУК «Санкт-Петербургский академический Театр имени Ленсовета» (2025-2026гг) (извещение № 0372200244225000004)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28.12.2024 в единой информационной системе, номер извещения 0372200244225000004. Начальная (максимальная) цена контракта – 11 322 481, 53 рубля.</w:t>
      </w:r>
    </w:p>
    <w:p>
      <w:r>
        <w:t>В жалобе Заявитель указал на неправомерные действия Заказчика, выразившиеся, по его мнению, в утверждении ненадлежащего порядка оценки заявок по критерию «Качественные характеристики объекта закупки».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pPr>
        <w:pStyle w:val="Heading2"/>
      </w:pPr>
      <w:r>
        <w:t>мотивировочная часть</w:t>
      </w:r>
    </w:p>
    <w:p>
      <w:r>
        <w:t>Относительно доводов Заявителя, касающихся установления Уполномоченным органом, Заказчиком ненадлежащего порядка оценки заявок по критерию «Качественные, функциональные и экологические характеристики объекта закупки», Комиссия УФАС приходит к следующим выводам.</w:t>
      </w:r>
    </w:p>
    <w:p>
      <w:r>
        <w:t>1. Электронный конкурс начинается с размещения в единой информационной системе извещения об осуществлении закупки (ч. 1 ст. 48 Закона о контрактной системе).</w:t>
      </w:r>
    </w:p>
    <w:p>
      <w:r>
        <w:t>Пунктом 11 ч. 1 ст. 42 Закона о контрактной системе определено, что извещение об осуществлении закупки должно содержать критерии оценки заявок на участие в конкурсах, величины значимости этих критериев в соответствии с настоящим Федеральным законом</w:t>
      </w:r>
    </w:p>
    <w:p>
      <w:r>
        <w:t>В силу п. 5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Закона о контрактной системе,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Частью 6 ст. 23 Закона о контрактной системе установлено, что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Пунктами 3, 4 Правил использования каталога товаров, работ, услуг для обеспечения государственных и муниципальных нужд (далее – Правила), утвержденных постановлением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– Постановление № 145),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145.</w:t>
      </w:r>
    </w:p>
    <w:p>
      <w:r>
        <w:t>Заказчики обязаны применять информацию, включенную в позицию каталога в соответствии с пп. «а»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Согласно п.п. 5-6 Правил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ст.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поз. 191 - 361 приложения № 2 к указанному постановлению, применяются предусмотренные п.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ч. 5 ст.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Как установлено п. 7 Правил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Приказом Росстандарта от 31.01.2014 № 14-ст утвержден «ОК 034-2014 (КПЕС 2008). Общероссийский классификатор продукции по видам экономической деятельности» (далее – ОКПД 2).</w:t>
      </w:r>
    </w:p>
    <w:p>
      <w:r>
        <w:t>В ОКПД 2 использованы иерархический метод классификации и последовательный метод кодирования. Код состоит из 2 - 9 цифровых знаков, и его структура может быть представлена в следующем виде:</w:t>
      </w:r>
    </w:p>
    <w:p>
      <w:r>
        <w:t>XX класс</w:t>
      </w:r>
    </w:p>
    <w:p>
      <w:r>
        <w:t>XX.X подкласс</w:t>
      </w:r>
    </w:p>
    <w:p>
      <w:r>
        <w:t>XX.XX группа</w:t>
      </w:r>
    </w:p>
    <w:p>
      <w:r>
        <w:t>XX.XX.X подгруппа</w:t>
      </w:r>
    </w:p>
    <w:p>
      <w:r>
        <w:t>XX.XX.XX вид</w:t>
      </w:r>
    </w:p>
    <w:p>
      <w:r>
        <w:t>XX.XX.XX.XX категория</w:t>
      </w:r>
    </w:p>
    <w:p>
      <w:r>
        <w:t>XX.XX.XX.XXX подкатегория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Заказчиком использована позиция КТРУ 80.10.12.000-00000003, в соответствии с которой предусмотрены характеристики: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Наличие оружия у сотрудников мобильной группы</w:t>
            </w:r>
          </w:p>
        </w:tc>
        <w:tc>
          <w:tcPr>
            <w:tcW w:type="dxa" w:w="4320"/>
          </w:tcPr>
          <w:p>
            <w:r>
              <w:t>Да</w:t>
            </w:r>
          </w:p>
        </w:tc>
      </w:tr>
      <w:tr>
        <w:tc>
          <w:tcPr>
            <w:tcW w:type="dxa" w:w="4320"/>
          </w:tcPr>
          <w:p>
            <w:r>
              <w:t>Наличие оружия у сотрудников охраны</w:t>
            </w:r>
          </w:p>
        </w:tc>
        <w:tc>
          <w:tcPr>
            <w:tcW w:type="dxa" w:w="4320"/>
          </w:tcPr>
          <w:p>
            <w:r>
              <w:t>Нет</w:t>
            </w:r>
          </w:p>
        </w:tc>
      </w:tr>
    </w:tbl>
    <w:p>
      <w:r>
        <w:t>Вместе с тем, пункт 2.2.17 Технического задания предусматривает следующие условия:</w:t>
      </w:r>
    </w:p>
    <w:p>
      <w:r>
        <w:t>2.2.17. Исполнитель обязан:</w:t>
      </w:r>
    </w:p>
    <w:p>
      <w:r>
        <w:t>- усиливать охрану объекта за счет собственных сил и средств выставлением минимум двух круглосуточных дополнительных постов охраны на период до ликвидации нештатной (чрезвычайной) ситуации. При этом время выставления дополнительных постов охраны не должно превышать 40 минут с момента поступления Исполнителю сигнала тревоги с объекта охраны и (или) от Заказчика. Заказчик вправе потребовать выставление постов охраны, вооруженных служебным короткоствольным нарезным оружием. Данные услуги дополнительно не оплачиваются и включаются в общую сумму контракта.</w:t>
      </w:r>
    </w:p>
    <w:p>
      <w:r>
        <w:t>Таким образом, Заказчиком установлены противоречивые требования, что нарушает ч. 3 ст. 7 и п. 1 ч. 2 ст. 42 Закона о контрактной системе.</w:t>
      </w:r>
    </w:p>
    <w:p>
      <w:r>
        <w:t>2. Пункт 2.4.3. Технического задания содержит указание: Вид охраны - физическая охрана, без оружия.</w:t>
      </w:r>
    </w:p>
    <w:p>
      <w:r>
        <w:t>Пункт 2.2.18 Технического задания в требованиях к сотрудникам, привлекаемым к охране, содержит указание, что сотрудник должен:</w:t>
      </w:r>
    </w:p>
    <w:p>
      <w:r>
        <w:t>- иметь свидетельство о присвоении квалификации не менее 4-го разряда;</w:t>
      </w:r>
    </w:p>
    <w:p>
      <w:r>
        <w:t>Вместе с тем, в соответствии с п. 2.2.17 Технического задания, Заказчик требует выставление вооруженных постов охраны, в соответствии с действующим законодательством РФ, право на ношение, хранение и использование огнестрельного оружия имеют охранники не ниже 6-го разряда.</w:t>
      </w:r>
    </w:p>
    <w:p>
      <w:r>
        <w:t>Вместе с тем, положения извещения не содержат условий, сколько предполагается таких постов, сколько необходимо охранников с 6-м разрядом и каким образом они в период ЧС будут реализовывать право на ношение и использование оружия, а также какие обязательства из этого следуют для охранного предприятия.</w:t>
      </w:r>
    </w:p>
    <w:p>
      <w:r>
        <w:t>Установление вышеуказанных требований противоречит ч. 3 ст. 7 и п. 1 ч. 2 ст. 42 Закона о контрактной системе.</w:t>
      </w:r>
    </w:p>
    <w:p>
      <w:r>
        <w:t>3. В соответствии с п. 1 ч. 1 ст. 31 Закона о контрактной системе при осуществлении закупки заказчик устанавливает следующие единые требования к участникам закупки: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закупки.</w:t>
      </w:r>
    </w:p>
    <w:p>
      <w:r>
        <w:t>При этом, в соответствии с ч. 6 ст. 31 Закона о контрактной системе, Заказчики не вправе устанавливать требования к участникам закупок в нарушение требований настоящего Федерального закона.</w:t>
      </w:r>
    </w:p>
    <w:p>
      <w:r>
        <w:t>Согласно ч. 1 ст. 49 Гражданского кодекса Российской Федерации в случаях, предусмотренных законом, юридическое лицо может заниматься отдельными видами деятельности только на основании специального разрешения (лицензии), членства в саморегулируемой организации или выданного саморегулируемой организацией свидетельства о допуске к определенному виду работ.</w:t>
      </w:r>
    </w:p>
    <w:p>
      <w:r>
        <w:t>Таким образом, действующим законодательством установлено императивное требование о необходимости наличия лицензии (свидетельства, разрешения) непосредственно у участника закупки.</w:t>
      </w:r>
    </w:p>
    <w:p>
      <w:r>
        <w:t>Указанное требование вызвано необходимостью оказания услуг в рамках правоспособности хозяйствующего субъекта, обусловленной наличием лицензии (свидетельства) на осуществление деятельности, относящейся к предмету закупки.</w:t>
      </w:r>
    </w:p>
    <w:p>
      <w:r>
        <w:t>Учитывая изложенное, при подтверждении соответствия требованиям, установленным в соответствии с законодательством Российской Федерации, к лицам, осуществляющим поставку товара, выполнение работы, оказание услуги, являющихся объектом закупки, участник закупки представляет указанные в документации о закупке документы и сведения самого участника закупки, а не иных юридических лиц, с которыми участник закупки осуществляет совместную деятельность.</w:t>
      </w:r>
    </w:p>
    <w:p>
      <w:r>
        <w:t>Аналогичная позиция изложена в определении Верховного Суда Российской Федерации № 271-ПЭК18 от 12 ноября 2018 г. в котором указано, что последующее возможное привлечение соисполнителей оказываемых услуг не подтверждает соответствие заявки участника требованиям аукционной документации и возможность его участия в аукционе, поскольку ч. 1 ст. 31 Закона о контрактной системе установлены требования к участникам закупки, а не к соисполнителям.</w:t>
      </w:r>
    </w:p>
    <w:p>
      <w:r>
        <w:t>Согласно пункту 32 части 1 статьи 12 Федерального закона от 04.05.2011 г. № 99-ФЗ "О лицензировании отдельных видов деятельности" (далее - Закон о лицензировании), лицензированию подлежит частная охранная деятельность.</w:t>
      </w:r>
    </w:p>
    <w:p>
      <w:r>
        <w:t>Согласно статье 1 Закона РФ от 11.03.1992 N 2487-1 "О частной детективной и охранной деятельности в Российской Федерации" (далее - Закон РФ от 11.03.1992 N 2487-1) частная детективная и охранная деятельность определяется как оказание на возмездной договорной основе услуг физическим и юридическим лицам имеющими специальное разрешение (лицензию), полученную в соответствии с настоящим Законом, организациями и индивидуальными предпринимателями в целях защиты законных прав и интересов своих клиентов.</w:t>
      </w:r>
    </w:p>
    <w:p>
      <w:r>
        <w:t>В соответствии с частями 1 и 3 статьи 3 Закона РФ от 11.03.1992 N 2487-1 частная детективная и охранная деятельность осуществляется для сыска и охраны.</w:t>
      </w:r>
    </w:p>
    <w:p>
      <w:r>
        <w:t>В целях охраны разрешается предоставление следующих видов услуг:</w:t>
      </w:r>
    </w:p>
    <w:p>
      <w:r>
        <w:t>1) защита жизни и здоровья граждан;</w:t>
      </w:r>
    </w:p>
    <w:p>
      <w:r>
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настоящей части;</w:t>
      </w:r>
    </w:p>
    <w:p>
      <w:r>
        <w:t>3)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информацию;</w:t>
      </w:r>
    </w:p>
    <w:p>
      <w:r>
        <w:t>4) консультирование и подготовка рекомендаций клиентам по вопросам правомерной защиты от противоправных посягательств; 5) обеспечение порядка в местах проведения массовых мероприятий;</w:t>
      </w:r>
    </w:p>
    <w:p>
      <w:r>
        <w:t>6) обеспечение внутриобъектового и пропускного режимов на объектах, за исключением объектов, предусмотренных пунктом 7 настоящей части;</w:t>
      </w:r>
    </w:p>
    <w:p>
      <w:r>
        <w:t>7)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настоящего Закона.</w:t>
      </w:r>
    </w:p>
    <w:p>
      <w:r>
        <w:t>Согласно абзацу 3 статьи 11 Закона РФ от 11.03.1992 N 2487-1, частная охранная деятельность не распространяется на объекты государственной охраны и охраняемые объекты, предусмотренные Федеральным законом от 27 мая 1996 года N 57-ФЗ "О государственной охране", а также на объекты, перечень которых утверждается Правительством Российской Федерации. Охранным организациям разрешается оказывать услуги в виде вооруженной охраны имущества в порядке, установленном Правительством Российской Федерации, а также использовать технические и иные средства, не причиняющие вреда жизни и здоровью граждан и окружающей среде, средства оперативной радио- и телефонной связи.</w:t>
      </w:r>
    </w:p>
    <w:p>
      <w:r>
        <w:t>Порядок лицензирования частной охранной деятельности, осуществляемой юридическими лицами, учрежденными специально для оказания охранных услуг, определен Положением о лицензировании частной охранной деятельности, утвержденным Постановлением Правительства Российской Федерации от 23.06.2011 N 498 "О некоторых вопросах осуществления частной детективной (сыскной) и частной охранной деятельности".</w:t>
      </w:r>
    </w:p>
    <w:p>
      <w:r>
        <w:t>В соответствии с доводами Заявителя, Заказчиком неправомерно не установлено требование о предоставлении в составе заявки разрешения на хранение и использование оружия и патронов к нему.</w:t>
      </w:r>
    </w:p>
    <w:p>
      <w:r>
        <w:t>Согласно представленным возражениям Заказчика, учитывая, что наличие требуемой для оказания услуг на объекте Заказчика лицензии на осуществление охраны объектов и (или) имущества, а также при обеспечении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предусматривает в соответствии с пунктом 9 Положения о лицензировании частной охранной деятельности, утвержденного постановлением Правительства РФ от 23.06.2011 № 498 соответствие лицензионными требованиями предусмотренным пунктом 5 Положения о лицензировании, в частности, установленным следующим требованиям:</w:t>
      </w:r>
    </w:p>
    <w:p>
      <w:r>
        <w:t>а) наличие у соискателя лицензии (лицензиата) служебного огнестрельного оружия и специальных средств;</w:t>
      </w:r>
    </w:p>
    <w:p>
      <w:r>
        <w:t>б) наличие у соискателя лицензии (лицензиата) дежурного подразделения с круглосуточным режимом работы;</w:t>
      </w:r>
    </w:p>
    <w:p>
      <w:r>
        <w:t>г) наличие у соискателя лицензии (лицензиата) транспортных средств, а в случае использования транспортных средств, имеющих специальную раскраску, информационные надписи и знаки, -наличие согласования с органами внутренних дел в установленном порядке, изложенные в жалобе доводы о необходимости установить в извещении о закупке требования о наличии у участника закупки разрешения на хранение и использование служебного оружия и патронов не обоснованы: наличие лицензии подтверждает соответствие участника закупки предусмотренным законодательством требованиям.</w:t>
      </w:r>
    </w:p>
    <w:p>
      <w:r>
        <w:t>Довод жалобы признан обоснованным.</w:t>
      </w:r>
    </w:p>
    <w:p>
      <w:r>
        <w:t>4. Структурированная форма извещения содержит следующие условия: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Вид услуги по охране</w:t>
            </w:r>
          </w:p>
        </w:tc>
        <w:tc>
          <w:tcPr>
            <w:tcW w:type="dxa" w:w="4320"/>
          </w:tcPr>
          <w:p>
            <w:r>
              <w:t>Охрана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Охрана имущества, а также обеспечение внутриобъектового режима на объектах, в отношении которых установлены обязательные для выполнения требования к антитеррористической защищенности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Обеспечение порядка в местах проведения массовых мероприятий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Охрана объектов, а также обеспечение пропускного режима на объектах, в отношении которых установлены обязательные для выполнения требования к антитеррористической защищенности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Обеспечение внутриобъектового режима на объектах, за исключением объектов, в отношении которых установлены обязательные для выполнения требования к антитеррористической защищенности</w:t>
            </w:r>
          </w:p>
        </w:tc>
      </w:tr>
    </w:tbl>
    <w:p>
      <w:r>
        <w:t>В соответствии с пп. «н» п. 1 ч. 1 ст. 43 Закона о контрактной системе для участия в конкурентном способе заявка на участие в закупке, если иное не предусмотрено Законом о контрактной системе, должна содержать документы, подтверждающие соответствие участника закупки требованиям, установленным п. 1 ч. 1 ст. 31 Закона о контрактной системе, документы, подтверждающие соответствие участника закупки дополнительным требованиям, установленным в соответствии с ч. 2 и 2.1 (при наличии таких требований) ст. 31 Закона о контрактной системе, если иное не предусмотрено Законом о контрактной системе.</w:t>
      </w:r>
    </w:p>
    <w:p>
      <w:r>
        <w:t>Анализ извещения об осуществлении закупки показал, что в нём содержатся следующие условия:</w:t>
      </w:r>
    </w:p>
    <w:p>
      <w:r>
        <w:t>1.2. Реквизиты (регистрационный номер и дату) документов, подтверждающих соответствие участника закупки требованиям, установленным пунктом 1 части 1 статьи 31 Закона, а именно: наличие у участника лицензии на осуществление частной охранной деятельности с разрешенными видами услуг:</w:t>
      </w:r>
    </w:p>
    <w:p>
      <w:r>
        <w:t> консультирование и подготовка рекомендаций клиентам по вопросам правомерной защиты от противоправных посягательств;</w:t>
      </w:r>
    </w:p>
    <w:p>
      <w:r>
        <w:t> обеспечение порядка в местах проведения массовых мероприятий;</w:t>
      </w:r>
    </w:p>
    <w:p>
      <w:r>
        <w:t>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 РФ от 11.03.1992 г. N 2487-I "О частной детективной и охранной деятельности в Российской Федерации".</w:t>
      </w:r>
    </w:p>
    <w:p>
      <w:r>
        <w:t>Анализ вышеуказанных условий показал, что Заказчиком установлены противоречивые требования к лицензируемым видам деятельности в лицензии участника закупки, что нарушает ч. 3 ст. 7 Закона о контрактной системе.</w:t>
      </w:r>
    </w:p>
    <w:p>
      <w:r>
        <w:t>Довод жалобы признан обоснованным.</w:t>
      </w:r>
    </w:p>
    <w:p>
      <w:r>
        <w:t>5. Относительно довода 5 жалобы Заказчик пояснил, что предусмотренные разделом 2.5. Технического задания требования по организации оказания услуг установлены в целях обеспечения надлежащей подготовки сотрудников охраны Исполнителя для оказания услуг на объекте Заказчика, а также возможности обеспечить Заказчику соответствующий контроль за уровнем подготовки лиц, непосредственно оказывающих услуги, что в значительной мере обеспечит надлежащее качество оказания услуг. Указанные в Техническом задании условия по организации оказания услуг не устанавливают требований к участникам закупок, нарушающих требования п. 6 ст. 31 Закона о контрактной системе.</w:t>
      </w:r>
    </w:p>
    <w:p>
      <w:r>
        <w:t>Довод жалобы признан необоснованным.</w:t>
      </w:r>
    </w:p>
    <w:p>
      <w:r>
        <w:t>6. Согласно п. 11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критерии оценки заявок на участие в конкурсах, величины значимости этих критериев в соответствии с настоящим Федеральным законом.</w:t>
      </w:r>
    </w:p>
    <w:p>
      <w:r>
        <w:t>В соответствии с п. 4 ч. 2 ст. 42 Закона о контрактной системе извещение об осуществлении закупки, если иное не предусмотрено настоящим Федеральным законом, должно содержать электронные документы, содержащие порядок рассмотрения и оценки заявок на участие в конкурсах в соответствии с настоящим Федеральным законом.</w:t>
      </w:r>
    </w:p>
    <w:p>
      <w:r>
        <w:t>Частью 1 ст. 32 Закона о контрактной системе для оценки заявок участников закупки заказчик использует следующие критерии:</w:t>
      </w:r>
    </w:p>
    <w:p>
      <w:r>
        <w:t>1) цена контракта, сумма цен единиц товара, работы, услуги;</w:t>
      </w:r>
    </w:p>
    <w:p>
      <w:r>
        <w:t>2) расходы на эксплуатацию и ремонт товаров, использование результатов работ;</w:t>
      </w:r>
    </w:p>
    <w:p>
      <w:r>
        <w:t>3) качественные, функциональные и экологические характеристики объекта закупки;</w:t>
      </w:r>
    </w:p>
    <w:p>
      <w:r>
        <w:t>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В силу ч. 8 ст. 32 Закона о контрактной системе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 Заказчик для целей оценки заявок участников закупки в случае, если в соответствии с законодательством Российской Федерации установлены регулируемые цены (тарифы) на товары, работы, услуги, вправе не использовать критерии, указанные в п.п. 1 и 2 ч. 1 настоящей статьи.</w:t>
      </w:r>
    </w:p>
    <w:p>
      <w:r>
        <w:t>Положение об оценке заявок на участие в закупке товаров, работ, услуг для обеспечения государственных и муниципальных нужд (далее – Положение) установлено Постановлением Правительства РФ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Федерации».</w:t>
      </w:r>
    </w:p>
    <w:p>
      <w:r>
        <w:t>При этом согласно п. 2 Положения, «оценкой заявок» являются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Согласно п. 24 Положения для оценки заявок по критерию оценки «квалификация участников закупки»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В соответствии с п. 28 Положения в случае применения показателя оценки, предусмотренного пп. «в» п.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общая цена исполненных участником закупки договоров;</w:t>
      </w:r>
    </w:p>
    <w:p>
      <w:r>
        <w:t>общее количество исполненных участником закупки договоров;</w:t>
      </w:r>
    </w:p>
    <w:p>
      <w:r>
        <w:t>наибольшая цена одного из исполненных участником закупки договоров;</w:t>
      </w:r>
    </w:p>
    <w:p>
      <w:r>
        <w:t>б) оценка заявок по детализирующим показателям, предусмотренным пп. «а» настоящего пункта, осуществляется в порядке, установленном п. 20 и 21 настоящего Положения, применение шкалы оценки не допускается;</w:t>
      </w:r>
    </w:p>
    <w:p>
      <w:r>
        <w:t>в) документом, предусмотренным приложением № 1 к настоящему Положению:</w:t>
      </w:r>
    </w:p>
    <w:p>
      <w:r>
        <w:t>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неустоек);</w:t>
      </w:r>
    </w:p>
    <w:p>
      <w:r>
        <w:t>может быть установлено положение о принятии к оценке исключительно контракта, заключенного и исполненного в соответствии с Федеральным законом, и договора, заключенного и исполненного в соответствии с Федеральным законом «О закупках товаров, работ, услуг отдельными видами юридических лиц»;</w:t>
      </w:r>
    </w:p>
    <w:p>
      <w:r>
        <w:t>г) последний акт, составленный при исполнении договора и предусмотренный абзацем третьим пп. «в»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договоры;</w:t>
      </w:r>
    </w:p>
    <w:p>
      <w:r>
        <w:t>е) к оценке принимаются документы, предусмотренные абзацем третьим пп. «в» настоящего пункта, в случае их представления в заявке в полном объеме и со всеми приложениями, за исключением случаев, предусмотренных пп. «д» п. 31, пп. «г» п. 32 и пп. «г» п.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копии;</w:t>
      </w:r>
    </w:p>
    <w:p>
      <w:r>
        <w:t>ж) если документы, предусмотренные абзацем третьим пп. «в» настоящего пункта,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 документов участник закупки вправе направить номер реестровой записи из соответствующего реестра.</w:t>
      </w:r>
    </w:p>
    <w:p>
      <w:r>
        <w:t>Извещение об осуществлении закупки содержит следующие условия:</w:t>
      </w:r>
    </w:p>
    <w:p>
      <w:r>
        <w:t>Для оценки заявок по Характеристике квалификации участников закупки № 1 «Наибольшая цена одного из исполненных участником закупки договоров» в соответствии с пунктом 28 Положения Заказчиком установлены:</w:t>
      </w:r>
    </w:p>
    <w:p>
      <w:r>
        <w:t>1) предмет договора (договоров), оцениваемого по Характеристике квалификации участников закупки «Наибольшая», сопоставимый с предметом Контракта, на право заключения которого проводится настоящий конкурс: оказание услуг по обеспечению охраны объектов (территорий) организаций;</w:t>
      </w:r>
    </w:p>
    <w:p>
      <w:r>
        <w:t>2) перечень документов, подтверждающих наличие у участника закупки опыта оказания услуг, связанных с предметом Контракта:</w:t>
      </w:r>
    </w:p>
    <w:p>
      <w:r>
        <w:t>- исполненный (-ые) договор (-ы), акт (-ы) приемки поставленного товара, выполненных работ, оказанных услуг, составленные при исполнении такого договора (-ов). При этом, последний акт, составленный при исполнении договора (-ов), должен быть подписан не ранее чем за 5 лет до даты окончания срока подачи заявок на участие в настоящей закупке;</w:t>
      </w:r>
    </w:p>
    <w:p>
      <w:r>
        <w:t>Участнику закупки рекомендуется предоставить реестр исполненных договоров, который может содержать следующую информацию: сведения о номерах, датах заключения и предметах договоров, а также следующую информацию о таких договорах: сведения о наименованиях заказчиков и их идентификационных номерах налогоплательщиков; сведения о ценах договоров в российских рублях; сведения о датах начала и окончания исполнения участником закупки обязательств по договорам; номер, дата и сумма документа(ов), подтверждающего оказание услуг. Рекомендуемая форма «Наибольшая цена одного из исполненных участником закупки договоров» представлена в таб.1. Приложения №1.</w:t>
      </w:r>
    </w:p>
    <w:p>
      <w:r>
        <w:t>К оценке принимаются документы, предусмотренные настоящим пунктом, в случае их представления в заявке в полном объеме и со всеми приложениями. Документы направляются в форме электронных документов или в форме электронных образов бумажных документов.</w:t>
      </w:r>
    </w:p>
    <w:p>
      <w:r>
        <w:t>По Характеристике квалификации участников закупки «Наибольшая цена одного из исполненных участником закупки договоров» к оценке принимаются исключительно исполненные договоры, предусматривающие оказание услуг по обеспечению охраны объектов (территорий), при исполнении которых поставщиком (подрядчиком, исполнителем) исполнены требования об уплате неустоек (штрафов, пеней) (в случае начисления неустоек).</w:t>
      </w:r>
    </w:p>
    <w:p>
      <w:r>
        <w:t>По Характеристике квалификации участников закупки «Наибольшая цена одного из исполненных участником закупки договоров»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Законом о контрактной системе.</w:t>
      </w:r>
    </w:p>
    <w:p>
      <w:r>
        <w:t>Для Заказчика лучшим является наибольшее значение Характеристики квалификации участников закупки «Наибольшая цена одного из исполненных участником закупки договоров» и установлено предельное максимальное значение характеристики объекта закупки:</w:t>
      </w:r>
    </w:p>
    <w:p>
      <w:r>
        <w:t>Значение количества баллов по Характеристики квалификации участников закупки «Наибольшая цена одного из исполненных участником закупки договоров» присваивается заявке, подлежащей в соответствии с Законом о контрактной системе оценке по критерию оценки «Квалификация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квалификации», и рассчитывается по формуле:</w:t>
      </w:r>
    </w:p>
    <w:p>
      <w:r>
        <w:t>где:</w:t>
      </w:r>
    </w:p>
    <w:p>
      <w:r>
        <w:t>Хi - значение характеристики объекта закупки, содержащееся в предложении участника закупки, заявка (часть заявки) которого подлежит в соответствии с Законом оценке по критерию;</w:t>
      </w:r>
    </w:p>
    <w:p>
      <w:r>
        <w:t>Хmin - минимальное значение характеристики объекта закупки, содержащееся в заявках (частях заявок), подлежащих в соответствии с Законом оценке по критерию;</w:t>
      </w:r>
    </w:p>
    <w:p>
      <w:r>
        <w:t>- предельное максимальное значение характеристики объекта закупки, установленное Заказчиком, равное 160 000 000,00 рублей;</w:t>
      </w:r>
    </w:p>
    <w:p>
      <w:r>
        <w:t>Под значением Характеристики квалификации участников закупки «Наибольшая цена одного из исполненных участником закупки договоров» понимается наибольшая цена одного исполненного участником закупки договора, соответствующих требованиям, установленным в настоящем пункте, в российских рублях.</w:t>
      </w:r>
    </w:p>
    <w:p>
      <w:r>
        <w:t>В материалы жалобы Заявитель не представил документы и сведения, подтверждающие обоснованность вышеуказанного довода, в том числе, в части невозможности подготовки заявки на участие в конкурсе и ограничения количества участников закупок, а также свидетельствующих о нарушении Заказчиком норм Закона о контрактной системе.</w:t>
      </w:r>
    </w:p>
    <w:p>
      <w:r>
        <w:t>Доказательств того обстоятельства, что содержащиеся в извещении требования необоснованно создали одним участникам закупки преимущество перед другими, являются непреодолимыми для некоторых участников закупки, а также каким-либо иным образом повлекли за собой ограничение количества участников закупки, Заявителем также не представлено.</w:t>
      </w:r>
    </w:p>
    <w:p>
      <w:r>
        <w:t>Комиссия УФАС отмечает, что Закон о контрактной системе и принятые на его основе нормативно-правовые акты РФ не регламентируют установление в документации тех или иных показателей (кроме указанных в положении 2604), а также необходимую информацию, раскрывающую содержание нестоимостных критериев (кроме указанных в Положении). В связи с чем, прерогатива определить перечень показателей, их содержание и наполняемость, перечень документов, предоставляемых в составе заявки по показателям, принадлежит Заказчику.</w:t>
      </w:r>
    </w:p>
    <w:p>
      <w:r>
        <w:t>Главным правилом в таком случае выступает условие об отсутствии противоречий основным нормативно-правовым актам Российской Федерации, регламентирующих оценку заявок, окончательных предложений участников закупки товаров, работ, услуг для обеспечения государственных и муниципальных нужд.</w:t>
      </w:r>
    </w:p>
    <w:p>
      <w:r>
        <w:t>Анализ оспариваемого Заявителем порядка оценки по указанному показателю позволяет прийти к выводу о том, что указанный порядок в обжалуемой Заявителем части не противоречит требованиям Закона о контрактной системе и направлен на выявление лучшего предложения по исполнению контракта в указанной части.</w:t>
      </w:r>
    </w:p>
    <w:p>
      <w:r>
        <w:t>Комиссия УФАС отмечет, что спорный критерий и порядок его оценки не препятствует участию в конкурсе, не предрешает исхода закупки, не создает преимуществ конкретному лицу, а в данной ситуации направлен, прежде всего, на определение победителя конкурса - лица, наиболее соответствующего потребностям Заказчика при выполнении работ по объекту закупки.</w:t>
      </w:r>
    </w:p>
    <w:p>
      <w:r>
        <w:t>В силу ч. 4 ст. 106 Закона о контрактной системе участник закупки, подавший жалобу, вправе представить для рассмотрения жалобы по существу информацию и документы, подтверждающие обоснованность доводов жалобы.</w:t>
      </w:r>
    </w:p>
    <w:p>
      <w:r>
        <w:t>Следовательно, бремя доказывания при рассмотрении жалобы в контрольном органе в сфере закупок Законом о контрактной системе возлагается на лицо, подавшее жалобу на соответствующие действия Заказчика в порядке Главы 6 Закона о контрактной системе.</w:t>
      </w:r>
    </w:p>
    <w:p>
      <w:r>
        <w:t>Вместе с тем, на заседание Комиссии УФАС, Заявитель не представил в составе своей жалобы доказательств, подтверждающих обоснованность доводов жалобы, в том числе, в части обоснования того, каким образом нарушаются требования законодательства, также подателем жалобы не представлено доказательств, подтверждающих довод Заявителя, что рассматриваемый порядок оценки ограничивает количество участников закупки.</w:t>
      </w:r>
    </w:p>
    <w:p>
      <w:r>
        <w:t>Таким образом, в указанной части Комиссия УФАС находит доводы Заявителя необоснованными.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«ОО «ТЕОС СПБ» обоснованной частично.</w:t>
      </w:r>
    </w:p>
    <w:p>
      <w:r>
        <w:t>2. Признать в действиях Заказчика нарушения ч. 3 ст. 7, п. 1 ч. 2 ст. 42 Закона о контрактной системе.</w:t>
      </w:r>
    </w:p>
    <w:p>
      <w:r>
        <w:t>3. Выдать Заказчику, его конкурсной комиссии и оператору электронной площадки обязательное для исполнения предписание.</w:t>
      </w:r>
    </w:p>
    <w:p>
      <w:r>
        <w:t>4.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