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202500114959007966</w:t>
      </w:r>
    </w:p>
    <w:p>
      <w:r>
        <w:rPr>
          <w:b/>
        </w:rPr>
        <w:t xml:space="preserve">УФАС: </w:t>
      </w:r>
      <w:r>
        <w:t>УФАС по Санкт-Петербургу</w:t>
      </w:r>
    </w:p>
    <w:p>
      <w:r>
        <w:rPr>
          <w:b/>
        </w:rPr>
        <w:t xml:space="preserve">Дата решения: </w:t>
      </w:r>
      <w:r>
        <w:t>04.07.2025</w:t>
      </w:r>
    </w:p>
    <w:p>
      <w:r>
        <w:rPr>
          <w:b/>
        </w:rPr>
        <w:t xml:space="preserve">Исход: </w:t>
      </w:r>
      <w:r>
        <w:t>обоснована</w:t>
      </w:r>
    </w:p>
    <w:p>
      <w:r>
        <w:rPr>
          <w:b/>
        </w:rPr>
        <w:t xml:space="preserve">Закупка №: </w:t>
      </w:r>
      <w:r>
        <w:t>0172200004925000317</w:t>
      </w:r>
    </w:p>
    <w:p>
      <w:r>
        <w:rPr>
          <w:b/>
        </w:rPr>
        <w:t xml:space="preserve">Заказчик: </w:t>
      </w:r>
      <w:r>
        <w:t>Государственное бюджетное общеобразовательное учреждение гимназия № 540 Приморского района Санкт-Петербурга</w:t>
      </w:r>
    </w:p>
    <w:p>
      <w:r>
        <w:rPr>
          <w:b/>
        </w:rPr>
        <w:t xml:space="preserve">Заявитель: </w:t>
      </w:r>
      <w:r>
        <w:t>ООО «Прогресс-арена»</w:t>
      </w:r>
    </w:p>
    <w:p>
      <w:r>
        <w:rPr>
          <w:b/>
        </w:rPr>
        <w:t xml:space="preserve">Первоисточник в ЕИС: </w:t>
      </w:r>
      <w:r>
        <w:t>https://zakupki.gov.ru/epz/complaint/card/complaint-information.html?complaintNumber=202500114959007966</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Администрация Приморского района Санкт-Петербурга</w:t>
              <w:br/>
              <w:t>197374, Санкт-Петербург, улица Савушкина, 83</w:t>
              <w:br/>
              <w:t>ГБОУ гимназия № 540 Приморского района Санкт-Петербурга</w:t>
              <w:br/>
              <w:t>197082, Санкт-Петербург, вн.тер.г. муниципальный округ № 65, ул Оптиков, д.31 к. 1 стр. 1</w:t>
              <w:br/>
              <w:t>ООО «ПРОГРЕСС-АРЕНА»</w:t>
              <w:br/>
              <w:t>185035, Республика Карелия, г.о. Петрозаводский, Г Петрозаводск, Р-Н центр, ул Максима Горького, Д. 25, помещ. 1,</w:t>
            </w:r>
          </w:p>
        </w:tc>
      </w:tr>
    </w:tbl>
    <w:p>
      <w:r>
        <w:t>РЕШЕНИЕ по делу № 078/06/105-1178/2025</w:t>
      </w:r>
    </w:p>
    <w:p>
      <w:r>
        <w:t>о нарушении законодательства о контрактной системе</w:t>
      </w:r>
    </w:p>
    <w:p>
      <w:r>
        <w:t>04.07.2025 Санкт-Петербург</w:t>
      </w:r>
    </w:p>
    <w:p>
      <w:r>
        <w:t>Комиссия Санкт-Петербургского УФАС России по контролю в сфере закупок (далее – Комиссия УФАС) :</w:t>
      </w:r>
    </w:p>
    <w:p>
      <w:r>
        <w:t>при участии представителя ГБОУ гимназия № 540 Приморского района Санкт-Петербурга (далее – Заказчик):,</w:t>
      </w:r>
    </w:p>
    <w:p>
      <w:r>
        <w:t>в отсутствие представителей Администрации Приморского района Санкт-Петербурга (далее – Уполномоченный орган), ООО «ПРОГРЕСС-АРЕНА» (далее – Заявитель), уведомленных о заседании Комиссии УФАС;</w:t>
      </w:r>
    </w:p>
    <w:p>
      <w:pPr>
        <w:pStyle w:val="Heading2"/>
      </w:pPr>
      <w:r>
        <w:t>описательная часть</w:t>
      </w:r>
    </w:p>
    <w:p>
      <w:r>
        <w:t>рассмотрев посредством системы видеоконференцсвязи жалобу Заявителя (вх. № 15729/25 от 01.07.2025) на действия Заказчика при определении (подрядчика, исполнителя) путем проведения электронного аукциона на поставку штор для оснащения учреждения вновь вводимого объекта ГБОУ гимназия № 540 Приморского района Санкт-Петербурга (извещение № 0172200004925000317) (далее – аукцион),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аукциона размещено 19.06.2025 на Официальном сайте Единой информационной системы в сфере закупок www.zakupki.gov.ru, номер извещения 0172200004925000317. Начальная (максимальная) цена контракта – 5 002 691,75 рублей.</w:t>
      </w:r>
    </w:p>
    <w:p>
      <w:r>
        <w:t>В жалобе Заявитель указывает на нарушения Заказчиком требований законодательства о контрактной системе, которые выразились: в нарушении правил описания объекта закупки.</w:t>
      </w:r>
    </w:p>
    <w:p>
      <w:r>
        <w:t>Согласно представленным в порядке ч. 1 ст. 106 Закона о контрактной системе возражениям Заказчик с доводами жалобы не согласен и считает ее необоснованной.</w:t>
      </w:r>
    </w:p>
    <w:p>
      <w:r>
        <w:t>Информация, изложенная в жалобе, пояснения сторон, имеющиеся документы подтверждают следующие обстоятельства.</w:t>
      </w:r>
    </w:p>
    <w:p>
      <w:r>
        <w:t>В силу п.5 ч. 1 ст.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следующую информацию: наименование объекта закупки, информация (при наличии), предусмотренная правилами использования каталога товаров, работ, услуг для обеспечения государственных и муниципальных нужд, установленными в соответствии с частью 6 статьи 23 настоящего Федерального закона, указание (в случае осуществления закупки лекарственных средств) на международные непатентованные наименования лекарственных средств или при отсутствии таких наименований химические, группировочные наименования.</w:t>
      </w:r>
    </w:p>
    <w:p>
      <w:r>
        <w:t>В силу ч. 5 ст. 23 Закона о контрактной системе, формирование и ведение в единой информационной системе каталога товаров, работ, услуг для обеспечения государственных и муниципальных нужд обеспечиваются федеральным органом исполнительной власти по регулированию контрактной системы в сфере закупок</w:t>
      </w:r>
    </w:p>
    <w:p>
      <w:r>
        <w:t>В соответствии с ч. 6 ст. 23 Закона о контрактной системе, порядок формирования и ведения в единой информационной системе каталога товаров, работ, услуг для обеспечения государственных и муниципальных нужд, а также правила использования указанного каталога устанавливаются Правительством Российской Федерации.</w:t>
      </w:r>
    </w:p>
    <w:p>
      <w:r>
        <w:t>Согласно постановлению Правительства РФ от 08.02.2017 N 145 «Об утверждении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и Правил использования каталога товаров, работ, услуг для обеспечения государственных и муниципальных нужд» (далее – Постановление Правительства № 145) утверждены Правила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(далее – Правила формирования каталога), Правила использования каталога товаров, работ, услуг для обеспечения государственных и муниципальных нужд (далее – Правила использования каталога).</w:t>
      </w:r>
    </w:p>
    <w:p>
      <w:r>
        <w:t>Согласно п. 1 Правил формирования каталога, они определяют порядок формирования и ведения каталога товаров, работ, услуг для обеспечения государственных и муниципальных нужд, в том числе состав включаемой в него информации.</w:t>
      </w:r>
    </w:p>
    <w:p>
      <w:r>
        <w:t>Согласно п. 10 Правил формирования каталога, в позицию каталога включается следующая информация:</w:t>
      </w:r>
    </w:p>
    <w:p>
      <w:r>
        <w:t>а) код позиции каталога, формируемый в соответствии с пунктом 12 настоящих Правил;</w:t>
      </w:r>
    </w:p>
    <w:p>
      <w:r>
        <w:t>б) наименование товара, работы, услуги (для целей настоящих Правил под наименованием товара, работы, услуги понимается включаемое в позицию каталога наименование соответствующего товара, работы, услуги, которое не является торговым наименованием, не содержит указание на конкретного производителя и (или) место происхождения товара);</w:t>
      </w:r>
    </w:p>
    <w:p>
      <w:r>
        <w:t>в) единицы измерения количества товара, объема выполняемой работы, оказываемой услуги согласно Общероссийскому классификатору единиц измерения ОК 015-94 (ОКЕИ) (при наличии);</w:t>
      </w:r>
    </w:p>
    <w:p>
      <w:r>
        <w:t>г) информация, содержащая описание товара, работы, услуги, если такое описание сформировано в соответствии с пунктом 13 настоящих Правил;</w:t>
      </w:r>
    </w:p>
    <w:p>
      <w:r>
        <w:t>д) справочная информация: коды, соответствующие товару, работе, услуге согласно российским и международным системам классификации, каталогизации (при наличии); информация о типовых контрактах, типовых условиях контрактов, подлежащих применению при закупке товара, работы, услуги (при наличии);</w:t>
      </w:r>
    </w:p>
    <w:p>
      <w:r>
        <w:t>е) дата включения в каталог позиции;</w:t>
      </w:r>
    </w:p>
    <w:p>
      <w:r>
        <w:t>ж) дата (даты) начала обязательного применения информации, включенной в позицию каталога;</w:t>
      </w:r>
    </w:p>
    <w:p>
      <w:r>
        <w:t>з) дата окончания применения позиции каталога (при необходимости);</w:t>
      </w:r>
    </w:p>
    <w:p>
      <w:r>
        <w:t>и) дополнительная информация в соответствии с пунктом 19 настоящих Правил.</w:t>
      </w:r>
    </w:p>
    <w:p>
      <w:r>
        <w:t>Согласно п. 2 Правил использования каталога, каталог используется заказчиками в целях:</w:t>
      </w:r>
    </w:p>
    <w:p>
      <w:r>
        <w:t>а) обеспечения применения информации о товарах, работах, услугах, в том числе в:</w:t>
      </w:r>
    </w:p>
    <w:p>
      <w:r>
        <w:t>извещении об осуществлении закупки;</w:t>
      </w:r>
    </w:p>
    <w:p>
      <w:r>
        <w:t>приглашении принять участие в определении поставщика (подрядчика, исполнителя) (далее - приглашение);</w:t>
      </w:r>
    </w:p>
    <w:p>
      <w:r>
        <w:t>документации о закупке (в случае если Федеральным законом предусмотрена документация о закупке);</w:t>
      </w:r>
    </w:p>
    <w:p>
      <w:r>
        <w:t>контракте;</w:t>
      </w:r>
    </w:p>
    <w:p>
      <w:r>
        <w:t>реестре контрактов, заключенных заказчиками;</w:t>
      </w:r>
    </w:p>
    <w:p>
      <w:r>
        <w:t>б) описания объектов закупки, которое включается в извещение об осуществлении закупки, приглашение и документацию о закупке (в случае если Федеральным законом предусмотрена документация о закупке).</w:t>
      </w:r>
    </w:p>
    <w:p>
      <w:r>
        <w:t>Согласно п. 4 Правил использования каталога, Заказчики обязаны применять информацию, включенную в позицию каталога в соответствии с подпунктами «б» - «г» и «е» - «з» пункта 10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утвержденных постановлением Правительства Российской Федерации от 8 февраля 2017 г. N 145 «Об утверждении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и Правил использования каталога товаров, работ, услуг для обеспечения государственных и муниципальных нужд», с указанной в ней даты начала обязательного применения. При этом заказчик обязан при осуществлении закупки использовать информацию, включенную в соответствующую позицию, в том числе указывать согласно такой позиции следующую информацию:</w:t>
      </w:r>
    </w:p>
    <w:p>
      <w:r>
        <w:t>а) наименование товара, работы, услуги;</w:t>
      </w:r>
    </w:p>
    <w:p>
      <w:r>
        <w:t>б) единицы измерения количества товара, объема выполняемой работы, оказываемой услуги (при наличии);</w:t>
      </w:r>
    </w:p>
    <w:p>
      <w:r>
        <w:t>в) описание товара, работы, услуги (при наличии такого описания в позиции).</w:t>
      </w:r>
    </w:p>
    <w:p>
      <w:r>
        <w:t>Исходя из совокупности вышеизложенных положений,</w:t>
      </w:r>
    </w:p>
    <w:p>
      <w:r>
        <w:t>при формировании объекта закупки на поставку товара по позициям, предусмотренных каталогом товаров, работ, услуг, Заказчик обязан применять информацию, включенную в позицию каталога, а также обосновать использование иных, не предусмотренных позицией каталога, характеристик.</w:t>
      </w:r>
    </w:p>
    <w:p>
      <w:r>
        <w:t>Согласно п.п. 6-7 Правил использования каталога, в случае предоставления иной и дополнительной информации, предусмотренной пунктом 5 настоящих Правил, заказчик обязан включить в описание товара, работы, услуги обоснование необходимости использования такой информации (при наличии описания товара, работы, услуги в позиции каталога).</w:t>
      </w:r>
    </w:p>
    <w:p>
      <w:r>
        <w:t>В случае осуществления закупки товара, работы, услуги, в отношении которых в каталоге отсутствуют соответствующие позиции, заказчик осуществляет описание товара, работы, услуги в соответствии с требованиями статьи 33 Федерального закона.</w:t>
      </w:r>
    </w:p>
    <w:p>
      <w:r>
        <w:t>При проведении предусмотренных Федеральным законом электронных процедур, закрытых электронных процедур характеристики объекта закупки, предусмотренные пунктом 1 части 1 статьи 33 Федерального закона, указываются с использованием единой информационной системы при формировании извещения об осуществлении закупки, приглашения принять участие в определении поставщика (подрядчика, исполнителя) в соответствии с частью 1 статьи 42, пунктом 1 части 1 статьи 75 Федерального закона соответственно.</w:t>
      </w:r>
    </w:p>
    <w:p>
      <w:r>
        <w:t>В качестве кода каталога товара, работы, услуги, на которые в каталоге отсутствует соответствующая позиция, указывается код такого товара, работы, услуги согласно Общероссийскому классификатору продукции по видам экономической деятельности (ОКПД2) ОК 034-2014.</w:t>
      </w:r>
    </w:p>
    <w:p>
      <w:r>
        <w:t>Исходя из совокупности вышеизложенных положений, при формировании объекта закупки на поставку товара по позициям, предусмотренных каталогом товаров, работ, услуг, Заказчик обязан применять информацию, включенную в позицию каталога, а также обосновать использование иных, не предусмотренных позицией каталога, характеристик.</w:t>
      </w:r>
    </w:p>
    <w:p>
      <w:r>
        <w:t>Кроме того, из системного толкования абц. 2 п. 7 Правил следует, что в случае отсутствия необходимого кода каталога товара, работы, услуги, указывается код такого товара, работы, услуги согласно ОКПД2.</w:t>
      </w:r>
    </w:p>
    <w:p>
      <w:r>
        <w:t>В силу п.1 ч. 2 ст. 42 Закона о контрактной системе Извещение об осуществлении закупки, если иное не предусмотрено настоящим Федеральным законом, должно содержать следующий электронный документ: описание объекта закупки в соответствии со статьей 33 Закона о контрактной системе.</w:t>
      </w:r>
    </w:p>
    <w:p>
      <w:r>
        <w:t>В силу п.п. 1 и 2 ч. 1 ст. 33 Закона о контрактной системе заказчик в случаях, предусмотренных настоящим Федеральным законом, при описании объекта закупки должен руководствоваться следующими правилами:</w:t>
      </w:r>
    </w:p>
    <w:p>
      <w:r>
        <w:t>1) в описании объекта закупки указываются функциональные, технические и качественные характеристики, эксплуатационные характеристики объекта закупки (при необходимости).</w:t>
      </w:r>
    </w:p>
    <w:p>
      <w:r>
        <w:t>В описание объекта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 при условии, что такие требования или указания влекут за собой ограничение количества участников закупки. Допускается использование в описании объекта закупки указания на товарный знак в следующих случаях:</w:t>
      </w:r>
    </w:p>
    <w:p>
      <w:r>
        <w:t>а) сопровождение такого указания словами «или эквивалент»;</w:t>
      </w:r>
    </w:p>
    <w:p>
      <w:r>
        <w:t>б) несовместимость товаров, на которых размещаются другие товарные знаки, и необходимость обеспечения взаимодействия таких товаров с товарами, используемыми заказчиком;</w:t>
      </w:r>
    </w:p>
    <w:p>
      <w:r>
        <w:t>в) осуществление закупки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r>
        <w:t>г) осуществление закупки медицинских изделий, специализированных продуктов лечебного питания, необходимых для назначения пациенту по медицинским показаниям (индивидуальная непереносимость, по жизненным показаниям) по решению врачебной комиссии, которое фиксируется в медицинской документации пациента и журнале врачебной комиссии. Перечень указанных медицинских изделий, специализированных продуктов лечебного питания и порядок его формирования утверждаются Правительством Российской Федерации;</w:t>
      </w:r>
    </w:p>
    <w:p>
      <w:r>
        <w:t>2) использование при составлении описания объекта закупки показателей, требований, условных обозначений и терминологии, касающихся технических характеристик, функциональных характеристик (потребительских свойств) товара, работы, услуги и качественных характеристик объекта закупки, которые предусмотрены техническими регламентами,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иных требований, связанных с определением соответствия поставляемого товара, выполняемой работы, оказываемой услуги потребностям заказчика. Если заказчиком при составлении описания объекта закупки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показатели, требования, условные обозначения и терминология, в таком описании должно содержаться обоснование необходимости использования других показателей, требований, условных обозначений и терминологии.</w:t>
      </w:r>
    </w:p>
    <w:p>
      <w:r>
        <w:t>Частью 2 ст. 33 Закона о контрактной системе установлено, что описание объекта закупки в соответствии с требованиями, указанными в части 1 настоящей статьи, должно содержать показатели, позволяющие определить соответствие закупаемых товара, работы, услуги установленным заказчиком требованиям. При этом указываются максимальные и (или) минимальные значения таких показателей и (или) значения показателей, которые не могут изменяться.</w:t>
      </w:r>
    </w:p>
    <w:p>
      <w:r>
        <w:t>Не допускается включение в описание объекта закупки (в том числе в форме требований к качеству, техническим характеристикам товара, работы или услуги, требований к функциональным характеристикам (потребительским свойствам) товара) требований к производителю товара, к участнику закупки (в том числе требования к квалификации участника закупки, включая наличие опыта работы), а также требования к деловой репутации участника закупки, требования к наличию у него производственных мощностей, технологического оборудования, трудовых, финансовых и других ресурсов, необходимых для производства товара, поставка которого является предметом контракта, для выполнения работы или оказания услуги, являющихся предметом контракта, за исключением случаев, если возможность установления таких требований к участнику закупки предусмотрена настоящим Федеральным законом (ч. 3 ст. 33 Закона о контрактной системе).</w:t>
      </w:r>
    </w:p>
    <w:p>
      <w:r>
        <w:t>В соответствии с ч. 2 ст. 19 Закона о контрактной системе под требованиями к закупаемым заказчиком товарам, работам, услугам понимаются требования к количеству, потребительским свойствам (в том числе характеристикам качества) и иным характеристикам товаров, работ, услуг, позволяющие обеспечить государственные и муниципальные нужды, но не приводящие к закупкам товаров, работ, услуг, которые имеют избыточные потребительские свойства или являются предметами роскоши в соответствии с законодательством Российской Федерации.</w:t>
      </w:r>
    </w:p>
    <w:p>
      <w:r>
        <w:t>Таким образом, по смыслу ст. 33 Закона о контрактной системе, при формировании Технического задания Заказчику в рамках Закона о контрактной системе предоставлены полномочия по самостоятельному определению размера лота, а также спецификации и параметров и характеристик товара, в наибольшей степени удовлетворяющих его потребности. Однако из буквального при описании объекта закупки должны таким образом прописать требования к закупаемым товарам, работам, услугам, чтобы, с одной стороны, повысить шансы на приобретение услуги именно с такими характеристиками, которые ему необходимы.</w:t>
      </w:r>
    </w:p>
    <w:p>
      <w:r>
        <w:t>При формировании объекта закупки Заказчики самостоятельно определяют код ОКПД 2 путем соотнесения объекта закупки к соответствующему коду и наименованию позиции ОКПД 2 с учетом специфики закупки в области применения.</w:t>
      </w:r>
    </w:p>
    <w:p>
      <w:r>
        <w:t>При этом Комиссия УФАС отмечает, что не допускается выбор заказчиком кода по ОКПД 2 с целью изменения способа определения поставщика или иных неправомерных действий, которые могут возникнуть в случае указания неверного кода.</w:t>
      </w:r>
    </w:p>
    <w:p>
      <w:r>
        <w:t>Описание объекта закупки установлено с использованием единой информационной системы при формировании извещения об осуществлении закупки, а также установлено в электронном документе к извещению.</w:t>
      </w:r>
    </w:p>
    <w:p>
      <w:r>
        <w:t>На заседании Комиссии УФАС отмечено, что описание объекта закупки по позициям сформировано Заказчиком с применением информации, включенной в позиции КТРУ 13.92.15.120-00000001 «Портьеры», в том числе, в отношении показателя «Высота полотна», а также с учетом дополнительной информации (дополнительных требований).</w:t>
      </w:r>
    </w:p>
    <w:p>
      <w:r>
        <w:t>Комиссией УФАС также отмечается, что установленное требование относительно составных частей товара не является чрезмерным, избыточным или ограничивающим конкуренцию. Указанные требования направлены на обеспечение долговечности конструкции, гарантирование корректной работы механизмов, поддержание эстетичного внешнего вида изделия, создание комфортных условий эксплуатации, предотвращение преждевременного износа компонентов. Законодательством о контрактной системе, в частности частью 1 статьи 33, Заказчику предоставлено право устанавливать такие требования к товарам, работам, услугам, которые обеспечивают полное и качественное удовлетворение его нужд. При этом действующее законодательство не обязывает Заказчика ограничиваться исключительно характеристиками, содержащимися в позиции каталога КТРУ, а напротив — позволяет при необходимости дополнять описание объекта закупки индивидуальными характеристиками, при условии их обоснования.</w:t>
      </w:r>
    </w:p>
    <w:p>
      <w:r>
        <w:t>Вместе с тем, в соответствии с п. 3 письма ФАС России от 1 июля 2016 г. № ИА/44536/16 при установлении заказчиком в документации, извещении о закупке требований к описанию участниками закупки товаров следует учесть, что Закон о контрактной системе не обязывает участника закупки иметь в наличии товар в момент подачи заявки, в связи с чем требования заказчика подробно описать в заявке (путем предоставления показателей и (или) их значений, как в виде одного значения, диапазона значений, так и сохранения неизменного значения) химический состав и (или) компоненты товара, и (или) показатели технологии производства, испытания товара, и (или) показатели, значения которых становятся известными при испытании определенной партии товара после его производства, имеют признаки ограничения доступа к участию в закупке.</w:t>
      </w:r>
    </w:p>
    <w:p>
      <w:r>
        <w:t>Включение заказчиком в Техническое задание требований к показателям, значения которых становятся известными при испытании определенной партии товара после его производства, является излишним.</w:t>
      </w:r>
    </w:p>
    <w:p>
      <w:r>
        <w:t>В отношении товаров Заказчиком установлено, в том числе, следующие требования:</w:t>
      </w:r>
    </w:p>
    <w:tbl>
      <w:tblPr>
        <w:tblStyle w:val="TableGrid"/>
        <w:tblW w:type="auto" w:w="0"/>
        <w:tblLook w:firstColumn="1" w:firstRow="1" w:lastColumn="0" w:lastRow="0" w:noHBand="0" w:noVBand="1" w:val="04A0"/>
      </w:tblPr>
      <w:tblGrid>
        <w:gridCol w:w="4320"/>
        <w:gridCol w:w="4320"/>
      </w:tblGrid>
      <w:tr>
        <w:tc>
          <w:tcPr>
            <w:tcW w:type="dxa" w:w="4320"/>
          </w:tcPr>
          <w:p>
            <w:r>
              <w:t>Наименование характеристики</w:t>
            </w:r>
          </w:p>
        </w:tc>
        <w:tc>
          <w:tcPr>
            <w:tcW w:type="dxa" w:w="4320"/>
          </w:tcPr>
          <w:p>
            <w:r>
              <w:t>Значение характеристики</w:t>
            </w:r>
          </w:p>
        </w:tc>
      </w:tr>
      <w:tr>
        <w:tc>
          <w:tcPr>
            <w:tcW w:type="dxa" w:w="4320"/>
          </w:tcPr>
          <w:p>
            <w:r>
              <w:t>Термические свойства ниток ЛЛ градусов:</w:t>
            </w:r>
          </w:p>
        </w:tc>
        <w:tc>
          <w:tcPr>
            <w:tcW w:type="dxa" w:w="4320"/>
          </w:tcPr>
          <w:p>
            <w:r>
              <w:t>температура плавления должна быть не ниже 260»</w:t>
            </w:r>
          </w:p>
        </w:tc>
      </w:tr>
      <w:tr>
        <w:tc>
          <w:tcPr>
            <w:tcW w:type="dxa" w:w="4320"/>
          </w:tcPr>
          <w:p>
            <w:r>
              <w:t>Теплопроводность материала изготовления:</w:t>
            </w:r>
          </w:p>
        </w:tc>
        <w:tc>
          <w:tcPr>
            <w:tcW w:type="dxa" w:w="4320"/>
          </w:tcPr>
          <w:p>
            <w:r>
              <w:t>должна быть не меньше 0,14 Вт/(м*К).</w:t>
            </w:r>
          </w:p>
        </w:tc>
      </w:tr>
    </w:tbl>
    <w:p>
      <w:r>
        <w:t>Учитывая, что Закон о контрактной системе не обязывает участника закупки иметь в наличии товар, подлежащий описанию в соответствии с требованиями извещения, вышеприведенный пример подробного изложения в извещении требований к описанию участниками закупок испытательных характеристик либо химических элементов и компонентов товара ограничивают возможность участников закупки предоставить надлежащее и достоверное предложение в составе заявки на участие в закупке, в чем усматривается нарушение п.1 ч. 2 ст. 42 Закона о контрактной системе.</w:t>
      </w:r>
    </w:p>
    <w:p>
      <w:r>
        <w:t>Указанные показатели не исчерпывают весь перечень требований, так как для иных позиций установлены аналогичные характеристики, выявляемые при проведении испытаний.</w:t>
      </w:r>
    </w:p>
    <w:p>
      <w:pPr>
        <w:pStyle w:val="Heading2"/>
      </w:pPr>
      <w:r>
        <w:t>мотивировочная часть</w:t>
      </w:r>
    </w:p>
    <w:p>
      <w:r>
        <w:t>Комиссия УФАС, руководствуясь ст. 99, 106 Закона о контрактной системе,</w:t>
      </w:r>
    </w:p>
    <w:p>
      <w:pPr>
        <w:pStyle w:val="Heading2"/>
      </w:pPr>
      <w:r>
        <w:t>резолютивная часть</w:t>
      </w:r>
    </w:p>
    <w:p>
      <w:r>
        <w:t>РЕШИЛА:</w:t>
      </w:r>
    </w:p>
    <w:p>
      <w:r>
        <w:t>1. Признать жалобу ООО «ПРОГРЕСС-АРЕНА» обоснованной частично.</w:t>
      </w:r>
    </w:p>
    <w:p>
      <w:r>
        <w:t>2. Признать в действиях Заказчика нарушения п.1 ч. 2 ст. 42 Закона о контрактной системе.</w:t>
      </w:r>
    </w:p>
    <w:p>
      <w:r>
        <w:t>3. Обязательное для исполнения предписание не выдавать в связи с его выдачей по ранее рассмотренному делу.</w:t>
      </w:r>
    </w:p>
    <w:p>
      <w:r>
        <w:t>4. 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должностного лица Заказчика.</w:t>
      </w:r>
    </w:p>
    <w:p>
      <w:r>
        <w:t>Настоящее решение может быть обжаловано в судебном порядке в течение трёх месяцев со дня принятия.</w:t>
      </w:r>
    </w:p>
    <w:p>
      <w:r>
        <w:t>4</w:t>
      </w:r>
    </w:p>
    <w:p>
      <w:r>
        <w:t>6</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