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202500114959008039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04.07.2025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0172200004925000317</w:t>
      </w:r>
    </w:p>
    <w:p>
      <w:r>
        <w:rPr>
          <w:b/>
        </w:rPr>
        <w:t xml:space="preserve">Заказчик: </w:t>
      </w:r>
      <w:r>
        <w:t>Администрация Приморского района Санкт-Петербурга</w:t>
      </w:r>
    </w:p>
    <w:p>
      <w:r>
        <w:rPr>
          <w:b/>
        </w:rPr>
        <w:t xml:space="preserve">Заявитель: </w:t>
      </w:r>
      <w:r>
        <w:t>ООО «Конструктив»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https://zakupki.gov.ru/epz/complaint/card/complaint-information.html?complaintNumber=202500114959008039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Администрация Приморского района Санкт-Петербурга</w:t>
              <w:br/>
              <w:t>197374, Санкт-Петербург, улица Савушкина, 83</w:t>
              <w:br/>
              <w:t>ГБОУ гимназия № 540 Приморского района Санкт-Петербурга</w:t>
              <w:br/>
              <w:t>197082, Санкт-Петербург, вн.тер.г. муниципальный округ № 65, ул Оптиков, д.31 к. 1 стр. 1</w:t>
              <w:br/>
              <w:t>ООО «Конструктив»</w:t>
              <w:br/>
              <w:t>630033, Новосибирск,</w:t>
              <w:br/>
              <w:t>ул. Мира, д. 62/4, офис 202</w:t>
              <w:br/>
              <w:t>,</w:t>
            </w:r>
          </w:p>
        </w:tc>
      </w:tr>
    </w:tbl>
    <w:p>
      <w:r>
        <w:t>РЕШЕНИЕ по делу № 078/06/105-1176/2025</w:t>
      </w:r>
    </w:p>
    <w:p>
      <w:r>
        <w:t>о нарушении законодательства о контрактной системе</w:t>
      </w:r>
    </w:p>
    <w:p>
      <w:r>
        <w:t>04.07.2025 Санкт-Петербург</w:t>
      </w:r>
    </w:p>
    <w:p>
      <w:r>
        <w:t>Комиссия Санкт-Петербургского УФАС России по контролю в сфере закупок (далее – Комиссия УФАС):</w:t>
      </w:r>
    </w:p>
    <w:p>
      <w:r>
        <w:t>при участии представителя ГБОУ гимназия № 540 Приморского района Санкт-Петербурга (далее – Заказчик):,</w:t>
      </w:r>
    </w:p>
    <w:p>
      <w:r>
        <w:t>в отсутствие представителей Администрации Приморского района Санкт-Петербурга (далее – Уполномоченный орган), ООО «Конструктив» (далее – Заявитель), уведомленных о заседании Комиссии УФАС;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15723/25 от 01.07.2025) на действия Заказчика при определении (подрядчика, исполнителя) путем проведения электронного аукциона на поставку штор для оснащения учреждения вновь вводимого объекта ГБОУ гимназия № 540 Приморского района Санкт-Петербурга (извещение № 0172200004925000317)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аукциона размещено 19.06.2025 на Официальном сайте Единой информационной системы в сфере закупок www.zakupki.gov.ru, номер извещения 0172200004925000317. Начальная (максимальная) цена контракта – 5 002 691,75 рублей.</w:t>
      </w:r>
    </w:p>
    <w:p>
      <w:r>
        <w:t>В жалобе Заявитель указывает на нарушения Заказчиком требований законодательства о контрактной системе, которые выразились: в нарушении правил описания объекта закупки.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Информация, изложенная в жалобе, пояснения сторон, имеющиеся документы подтверждают следующие обстоятельства.</w:t>
      </w:r>
    </w:p>
    <w:p>
      <w:r>
        <w:t>В силу п.5 ч. 1 ст.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информацию: наименование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силу ч. 5 ст. 23 Закона о контрактной системе,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</w:t>
      </w:r>
    </w:p>
    <w:p>
      <w:r>
        <w:t>В соответствии с ч. 6 ст. 23 Закона о контрактной системе,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постановлению Правительства РФ от 08.02.2017 N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– Постановление Правительства № 145) утверждены Правила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(далее – Правила формирования каталога), Правила использования каталога товаров, работ, услуг для обеспечения государственных и муниципальных нужд (далее – Правила использования каталога).</w:t>
      </w:r>
    </w:p>
    <w:p>
      <w:r>
        <w:t>Согласно п. 1 Правил формирования каталога, они определяют порядок формирования и ведения каталога товаров, работ, услуг для обеспечения государственных и муниципальных нужд, в том числе состав включаемой в него информации.</w:t>
      </w:r>
    </w:p>
    <w:p>
      <w:r>
        <w:t>Согласно п. 10 Правил формирования каталога, в позицию каталога включается следующая информация:</w:t>
      </w:r>
    </w:p>
    <w:p>
      <w:r>
        <w:t>а) код позиции каталога, формируемый в соответствии с пунктом 12 настоящих Правил;</w:t>
      </w:r>
    </w:p>
    <w:p>
      <w:r>
        <w:t>б) наименование товара, работы, услуги (для целей настоящих Правил под наименованием товара, работы, услуги понимается включаемое в позицию каталога наименование соответствующего товара, работы, услуги, которое не является торговым наименованием, не содержит указание на конкретного производителя и (или) место происхождения товара);</w:t>
      </w:r>
    </w:p>
    <w:p>
      <w:r>
        <w:t>в) единицы измерения количества товара, объема выполняемой работы, оказываемой услуги согласно Общероссийскому классификатору единиц измерения ОК 015-94 (ОКЕИ) (при наличии);</w:t>
      </w:r>
    </w:p>
    <w:p>
      <w:r>
        <w:t>г) информация, содержащая описание товара, работы, услуги, если такое описание сформировано в соответствии с пунктом 13 настоящих Правил;</w:t>
      </w:r>
    </w:p>
    <w:p>
      <w:r>
        <w:t>д) справочная информация: коды, соответствующие товару, работе, услуге согласно российским и международным системам классификации, каталогизации (при наличии); информация о типовых контрактах, типовых условиях контрактов, подлежащих применению при закупке товара, работы, услуги (при наличии);</w:t>
      </w:r>
    </w:p>
    <w:p>
      <w:r>
        <w:t>е) дата включения в каталог позиции;</w:t>
      </w:r>
    </w:p>
    <w:p>
      <w:r>
        <w:t>ж) дата (даты) начала обязательного применения информации, включенной в позицию каталога;</w:t>
      </w:r>
    </w:p>
    <w:p>
      <w:r>
        <w:t>з) дата окончания применения позиции каталога (при необходимости);</w:t>
      </w:r>
    </w:p>
    <w:p>
      <w:r>
        <w:t>и) дополнительная информация в соответствии с пунктом 19 настоящих Правил.</w:t>
      </w:r>
    </w:p>
    <w:p>
      <w:r>
        <w:t>Согласно п. 2 Правил использования каталога, каталог используется заказчиками в целях:</w:t>
      </w:r>
    </w:p>
    <w:p>
      <w:r>
        <w:t>а) обеспечения применения информации о товарах, работах, услугах, в том числе в:</w:t>
      </w:r>
    </w:p>
    <w:p>
      <w:r>
        <w:t>извещении об осуществлении закупки;</w:t>
      </w:r>
    </w:p>
    <w:p>
      <w:r>
        <w:t>приглашении принять участие в определении поставщика (подрядчика, исполнителя) (далее - приглашение);</w:t>
      </w:r>
    </w:p>
    <w:p>
      <w:r>
        <w:t>документации о закупке (в случае если Федеральным законом предусмотрена документация о закупке);</w:t>
      </w:r>
    </w:p>
    <w:p>
      <w:r>
        <w:t>контракте;</w:t>
      </w:r>
    </w:p>
    <w:p>
      <w:r>
        <w:t>реестре контрактов, заключенных заказчиками;</w:t>
      </w:r>
    </w:p>
    <w:p>
      <w:r>
        <w:t>б) описания объектов закупки, которое включается в извещение об осуществлении закупки, приглашение и документацию о закупке (в случае если Федеральным законом предусмотрена документация о закупке).</w:t>
      </w:r>
    </w:p>
    <w:p>
      <w:r>
        <w:t>Согласно п. 4 Правил использования каталога, Заказчики обязаны применять информацию, включенную в позицию каталога в соответствии с подпунктами "б" - "г" и "е" - "з"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 г. N 145 "Об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нужд",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Исходя из совокупности вышеизложенных положений,</w:t>
      </w:r>
    </w:p>
    <w:p>
      <w:r>
        <w:t>при формировании объекта закупки на поставку товара по позициям, предусмотренных каталогом товаров, работ, услуг, Заказчик обязан применять информацию, включенную в позицию каталога, а также обосновать использование иных, не предусмотренных позицией каталога, характеристик.</w:t>
      </w:r>
    </w:p>
    <w:p>
      <w:r>
        <w:t>Согласно п.п. 6-7 Правил использования каталога, в случае предоставления иной и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Федерального закона.</w:t>
      </w:r>
    </w:p>
    <w:p>
      <w:r>
        <w:t>При проведении предусмотренных Федеральным законом электронных процедур, закрытых электронных процедур характеристики объекта закупки, предусмотренные пунктом 1 части 1 статьи 33 Федерального закона,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Федерального закона соответственно.</w:t>
      </w:r>
    </w:p>
    <w:p>
      <w:r>
        <w:t>В качестве кода каталога товара, работы, услуги, на которые в каталоге отсутствует соответствующая позиция, указывается код такого товара, работы, услуги согласно Общероссийскому классификатору продукции по видам экономической деятельности (ОКПД2) ОК 034-2014.</w:t>
      </w:r>
    </w:p>
    <w:p>
      <w:r>
        <w:t>Исходя из совокупности вышеизложенных положений, при формировании объекта закупки на поставку товара по позициям, предусмотренных каталогом товаров, работ, услуг, Заказчик обязан применять информацию, включенную в позицию каталога, а также обосновать использование иных, не предусмотренных позицией каталога, характеристик.</w:t>
      </w:r>
    </w:p>
    <w:p>
      <w:r>
        <w:t>Кроме того, из системного толкования абц. 2 п. 7 Правил следует, что в случае отсутствия необходимого кода каталога товара, работы, услуги, указывается код такого товара, работы, услуги согласно ОКПД2.</w:t>
      </w:r>
    </w:p>
    <w:p>
      <w:r>
        <w:t>В силу п.1 ч. 2 ст. 42 Закона о контрактной системе Извещение об осуществлении закупки, если иное не предусмотрено настоящим Федеральным законом, должно содержать следующий электронный документ: описание объекта закупки в соответствии со статьей 33 Закона о контрактной системе.</w:t>
      </w:r>
    </w:p>
    <w:p>
      <w:r>
        <w:t>В силу п.п. 1 и 2 ч. 1 ст. 33 Закона о контрактной системе заказчик в случаях, предусмотренных настоящим Федеральным законом, при описании объекта закупки должен руководствоваться следующими правилами:</w:t>
      </w:r>
    </w:p>
    <w:p>
      <w:r>
        <w:t>1)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</w:t>
      </w:r>
    </w:p>
    <w:p>
      <w:r>
        <w:t>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"или эквивалент";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Федерации;</w:t>
      </w:r>
    </w:p>
    <w:p>
      <w:r>
        <w:t>2)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Частью 2 ст. 33 Закона о контрактной системе установлено, что описание объекта закупки в соответствии с требованиями, указанными в части 1 настоящей статьи,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Не допускается включение в описание объекта закупки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 (ч. 3 ст. 33 Закона о контрактной системе).</w:t>
      </w:r>
    </w:p>
    <w:p>
      <w:r>
        <w:t>В соответствии с ч. 2 ст. 19 Закона о контрактной системе под требованиями к закупаемым заказчиком товарам, работам, услугам понимаются требования к количеству, потребительским свойствам (в том числе характеристикам качества) и иным характеристикам товаров, работ, услуг, позволяющие обеспечить государственные и муниципальные нужды, но не приводящие к закупкам товаров, работ, услуг, которые имеют избыточные потребительские свойства или являются предметами роскоши в соответствии с законодательством Российской Федерации.</w:t>
      </w:r>
    </w:p>
    <w:p>
      <w:r>
        <w:t>Таким образом, по смыслу ст. 33 Закона о контрактной системе,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лота, а также спецификации и параметров и характеристик товара, в наибольшей степени удовлетворяющих его потребности. Однако из буквального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услуги именно с такими характеристиками, которые ему необходимы.</w:t>
      </w:r>
    </w:p>
    <w:p>
      <w:r>
        <w:t>При формировании объекта закупки Заказчики самостоятельно определяют код ОКПД 2 путем соотнесения объекта закупки к соответствующему коду и наименованию позиции ОКПД 2 с учетом специфики закупки в области применения.</w:t>
      </w:r>
    </w:p>
    <w:p>
      <w:r>
        <w:t>При этом Комиссия УФАС отмечает, что не допускается выбор заказчиком кода по ОКПД 2 с целью изменения способа определения поставщика или иных неправомерных действий, которые могут возникнуть в случае указания неверного кода.</w:t>
      </w:r>
    </w:p>
    <w:p>
      <w:r>
        <w:t>Описание объекта закупки установлено с использованием единой информационной системы при формировании извещения об осуществлении закупки, а также установлено в электронном документе к извещению.</w:t>
      </w:r>
    </w:p>
    <w:p>
      <w:r>
        <w:t>На заседании Комиссии УФАС отмечено, что описание объекта закупки по позициям сформировано Заказчиком с применением информации, включенной в позиции КТРУ 13.92.15.120-00000001 «Портьеры», в том числе, в отношении показателя «Высота полотна», а также с учетом дополнительной информации (дополнительных требований).</w:t>
      </w:r>
    </w:p>
    <w:p>
      <w:r>
        <w:t>Извещения содержат обоснование необходимости использования дополнительной информации и дополнительных потребительских свойств, в том числе функциональных, технических, качественных, эксплуатационных характеристик закупаемых товаров, которые не предусмотрены в позициях каталога, а именно:</w:t>
      </w:r>
    </w:p>
    <w:p>
      <w:r>
        <w:t>«Недостаточное количество характеристик для описания объекта закупки»;</w:t>
      </w:r>
    </w:p>
    <w:p>
      <w:r>
        <w:t>«Включение дополнительных характеристик продукции обосновано отсутствием в КТРУ обязательных к применению характеристик объекта закупки, а также в связи с необходимостью соблюдения требований ч.1 ст.33 Закона №44-ФЗ в части указания функциональных, технических и качественных характеристик объекта закупки, заказчиком определены значимые для осуществления своей деятельности характеристики объекта закупки».</w:t>
      </w:r>
    </w:p>
    <w:p>
      <w:r>
        <w:t>Вместе с тем, Комиссия УФАС отмечает, что КТРУ содержит обязательные к применению характеристики объекта закупки.</w:t>
      </w:r>
    </w:p>
    <w:p>
      <w:r>
        <w:t>По мнению Комиссии УФАС, приведенные обоснования скорее носит формальный характер и не содержит объективной аргументации, доказывающей факт того, что установленные в извещении дополнительные потребительские свойства закупаемого товара действительно необходимы Заказчику для удовлетворения его нужд, а поставка товара с иными характеристиками и свойствами не удовлетворит потребность Заказчика.</w:t>
      </w:r>
    </w:p>
    <w:p>
      <w:pPr>
        <w:pStyle w:val="Heading2"/>
      </w:pPr>
      <w:r>
        <w:t>мотивировочная часть</w:t>
      </w:r>
    </w:p>
    <w:p>
      <w:r>
        <w:t>При установленных обстоятельствах Инспекция УФАС приходит к выводу, что в извещениях о закупке имеется ссылка исключительно на потребность Заказчика, но не раскрыто само обоснование необходимости использования многочисленных дополнительных характеристик, что свидетельствует о несоблюдении п. 6 Правил использования КТРУ, и является нарушением ч. 6 ст. 23 Закона о контрактной системе.</w:t>
      </w:r>
    </w:p>
    <w:p>
      <w:r>
        <w:t>2.Кроме того, в соответствии с п. 3 письма ФАС России от 1 июля 2016 г. № ИА/44536/16 при установлении заказчиком в документации, извещении о закупке требований к описанию участниками закупки товаров следует учесть, что Закон о контрактной системе не обязывает участника закупки иметь в наличии товар в момент подачи заявки, в связи с чем требования заказчика подробно описать в заявке (путем предоставления показателей и (или) их значений, как в виде одного значения, диапазона значений, так и сохранения неизменного значения) химический состав и (или) компоненты товара, и (или) показатели технологии производства, испытания товара, и (или) показатели, значения которых становятся известными при испытании определенной партии товара после его производства, имеют признаки ограничения доступа к участию в закупке.</w:t>
      </w:r>
    </w:p>
    <w:p>
      <w:r>
        <w:t>Включение заказчиком в Техническое задание требований к показателям, значения которых становятся известными при испытании определенной партии товара после его производства, является излишним.</w:t>
      </w:r>
    </w:p>
    <w:p>
      <w:r>
        <w:t>В отношении товаров Заказчиком установлено, в том числе, следующие требования: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Наименование характеристики</w:t>
            </w:r>
          </w:p>
        </w:tc>
        <w:tc>
          <w:tcPr>
            <w:tcW w:type="dxa" w:w="4320"/>
          </w:tcPr>
          <w:p>
            <w:r>
              <w:t>Значение характеристики</w:t>
            </w:r>
          </w:p>
        </w:tc>
      </w:tr>
      <w:tr>
        <w:tc>
          <w:tcPr>
            <w:tcW w:type="dxa" w:w="4320"/>
          </w:tcPr>
          <w:p>
            <w:r>
              <w:t>Термические свойства ниток ЛЛ градусов:</w:t>
            </w:r>
          </w:p>
        </w:tc>
        <w:tc>
          <w:tcPr>
            <w:tcW w:type="dxa" w:w="4320"/>
          </w:tcPr>
          <w:p>
            <w:r>
              <w:t>температура плавления должна быть не ниже 260»</w:t>
            </w:r>
          </w:p>
        </w:tc>
      </w:tr>
      <w:tr>
        <w:tc>
          <w:tcPr>
            <w:tcW w:type="dxa" w:w="4320"/>
          </w:tcPr>
          <w:p>
            <w:r>
              <w:t>Теплопроводность материала изготовления:</w:t>
            </w:r>
          </w:p>
        </w:tc>
        <w:tc>
          <w:tcPr>
            <w:tcW w:type="dxa" w:w="4320"/>
          </w:tcPr>
          <w:p>
            <w:r>
              <w:t>должна быть не меньше 0,14 Вт/(м*К).</w:t>
            </w:r>
          </w:p>
        </w:tc>
      </w:tr>
    </w:tbl>
    <w:p>
      <w:r>
        <w:t>Учитывая, что Закон о контрактной системе не обязывает участника закупки иметь в наличии товар, подлежащий описанию в соответствии с требованиями извещения, вышеприведенный пример подробного изложения в извещении требований к описанию участниками закупок испытательных характеристик либо химических элементов и компонентов товара ограничивают возможность участников закупки предоставить надлежащее и достоверное предложение в составе заявки на участие в закупке, в чем усматривается нарушение п.1 ч. 2 ст. 42 Закона о контрактной системе.</w:t>
      </w:r>
    </w:p>
    <w:p>
      <w:r>
        <w:t>Указанные показатели не исчерпывают весь перечень требований, так как для иных позиций установлены аналогичные характеристики, выявляемые при проведении испытаний.</w:t>
      </w:r>
    </w:p>
    <w:p>
      <w:r>
        <w:t>3. В части других доводов жалобы о ненадлежащем описании объекта закупки Комиссия УФАС отмечает, что участник не ограничен указать размеры поставляемого товара исходя из своих возможностей и без противоречий объективной части описания объекта закупки.</w:t>
      </w:r>
    </w:p>
    <w:p>
      <w:r>
        <w:t>Согласно ч. 2. ст. 106 Закона о контрактной системе лица, имеющие право действовать от имени участника закупки, подавшего жалобу, от имени субъекта (субъектов) контроля, действия (бездействие) которого (которых) обжалуются, вправе участвовать в рассмотрении жалобы по существу, в том числе с использованием систем видео-конференц-связи при наличии в контрольном органе в сфере закупок технической возможности осуществления видео-конференц-связи.</w:t>
      </w:r>
    </w:p>
    <w:p>
      <w:r>
        <w:t>В силу ч. 4 ст. 106 Закона о контрактной системе участник закупки, подавший жалобу, вправе представить для рассмотрения жалобы по существу информацию и документы, подтверждающие обоснованность доводов жалобы.</w:t>
      </w:r>
    </w:p>
    <w:p>
      <w:r>
        <w:t>Следовательно, бремя доказывания при рассмотрении жалобы в контрольном органе в сфере закупок Законом о контрактной системе возлагается на лицо, подавшее жалобу на соответствующие действия Заказчика в порядке Главы 6 Закона о контрактной системе.</w:t>
      </w:r>
    </w:p>
    <w:p>
      <w:r>
        <w:t>4. В силу п. 3 ч. 2 ст. 42 Закона о контрактной системе извещение об осуществлении закупки, если иное не предусмотрено Законом о контрактной системе, должно содержать требования к содержанию, составу заявки на участие в закупке в соответствии с настоящим Федеральным законом и инструкция по ее заполнению. При этом не допускается установление требований, влекущих за собой ограничение количества участников закупки.</w:t>
      </w:r>
    </w:p>
    <w:p>
      <w:r>
        <w:t>Комиссия УФАС отмечает, что действующим законодательством о контрактной системе не установлено четких критериев и требований к инструкции по заполнению заявки на участие в закупке.</w:t>
      </w:r>
    </w:p>
    <w:p>
      <w:r>
        <w:t>Указывая минимальные, максимальные значения показателей товаров, а также значения показателей товаров, которые не могут изменяться, заказчик тем самым определяет требования к содержанию заявки. При этом Заказчик должен учитывать запрет, установленный п. 3 ч. 2 ст. 42 Закона о контрактной системе на установление требований к содержанию заявок, ограничивающих круг участников, а также необходимость разработки инструкции, позволяющей заполнить предложение в отношении объекта закупки в соответствии с потребностями Заказчика.</w:t>
      </w:r>
    </w:p>
    <w:p>
      <w:r>
        <w:t>Соблюдение данных требований и запретов направлено на исключение возможности субъективного восприятия требований Заказчика участниками закупки и членами аукционной комиссии.</w:t>
      </w:r>
    </w:p>
    <w:p>
      <w:r>
        <w:t>Не установление Заказчиком надлежащей инструкции по заполнению заявки может привести к возникновению у участников закупок ошибок технического характера при заполнении и формировании своих заявок, что в свою очередь, может привести к признанию таких заявок не соответствующими установленным заказчиком требованиям.</w:t>
      </w:r>
    </w:p>
    <w:p>
      <w:r>
        <w:t>В целях обеспечения возможности участникам закупки надлежащим образом заполнить заявку и указать требуемые показатели Заказчик устанавливает в документации о закупке инструкцию по заполнению заявок, в которой, целесообразно:</w:t>
      </w:r>
    </w:p>
    <w:p>
      <w:r>
        <w:t>1) указать на раздел и (или) пункт документации о закупке, в котором содержатся показатели, предусмотренные ч. 2 ст. 33 Закона о контрактной системе, в отношении которых участники закупки делают предложение в своих заявках;</w:t>
      </w:r>
    </w:p>
    <w:p>
      <w:r>
        <w:t>2) определить, в отношении каких именно показателей Заказчиком установлены максимальные и (или) минимальные значения, а также порядок их указания участниками закупки в своих заявках (в виде одного значения показателя или диапазона значений показателя);</w:t>
      </w:r>
    </w:p>
    <w:p>
      <w:r>
        <w:t>3) определить, в отношении каких именно показателей Заказчиком установлены значения, которые не могут изменяться, и соответственно подлежат указанию участниками закупки в своих заявках без каких-либо изменений;</w:t>
      </w:r>
    </w:p>
    <w:p>
      <w:r>
        <w:t>4) сопоставить требования технических регламентов, стандартов и иных документов, предусмотренных законодательством Российской Федерации о техническом регулировании (далее - Стандарты), с показателями, значения которых подлежат указанию в заявке (в случае установления заказчиком в документации о закупке требования о соответствии таких показателей значениям, установленным Стандартами).</w:t>
      </w:r>
    </w:p>
    <w:p>
      <w:r>
        <w:t>Соблюдение данных требований и запретов направлено на исключение возможности субъективного восприятия требований заказчика участниками закупки и членами комиссии по осуществлению закупок.</w:t>
      </w:r>
    </w:p>
    <w:p>
      <w:r>
        <w:t>Инструкция по заполнению заявки содержит порядок предоставления значений по спорной характеристике, что позволяет заполнить заявку в соответствии с требованиями извещения, довод жалобы не находит своего подтверждения.</w:t>
      </w:r>
    </w:p>
    <w:p>
      <w:r>
        <w:t>Комиссия УФАС, руководствуясь ст.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«Конструктив» обоснованной частично.</w:t>
      </w:r>
    </w:p>
    <w:p>
      <w:r>
        <w:t>2. Признать в действиях Заказчика нарушения ч. 6 ст. 23, п.1 ч. 2 ст. 42 Закона о контрактной системе.</w:t>
      </w:r>
    </w:p>
    <w:p>
      <w:r>
        <w:t>3. Выдать Заказчику, его аукционной комиссии, оператору электронной площадки обязательное для исполнения предписание об устранении выявленных нарушений.</w:t>
      </w:r>
    </w:p>
    <w:p>
      <w:r>
        <w:t>4.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4</w:t>
      </w:r>
    </w:p>
    <w:p>
      <w:r>
        <w:t>11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