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202500114959008198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07.07.2025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0372200084725000050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поликлиника № 111»</w:t>
      </w:r>
    </w:p>
    <w:p>
      <w:r>
        <w:rPr>
          <w:b/>
        </w:rPr>
        <w:t xml:space="preserve">Заявитель: </w:t>
      </w:r>
      <w:r>
        <w:t>ООО «Армтэкс»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https://zakupki.gov.ru/epz/complaint/card/complaint-information.html?complaintNumber=202500114959008198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"ГОРОДСКАЯ ПОЛИКЛИНИКА № 111"</w:t>
              <w:br/>
              <w:t>Российская Федерация, 197349, Санкт-Петербург, УЛИЦА ОЛЬХОВАЯ, 6/ЛИТ. А</w:t>
              <w:br/>
              <w:t>ООО "АРМТЭКС"</w:t>
              <w:br/>
              <w:t>125167, Г.МОСКВА, вн.тер.г. МУНИЦИПАЛЬНЫЙ ОКРУГ АЭРОПОРТ, ПЕР ЭЛЬДОРАДОВСКИЙ, Д. 7, Э 1 ПОМ II КОМ 1</w:t>
            </w:r>
          </w:p>
        </w:tc>
      </w:tr>
    </w:tbl>
    <w:p>
      <w:r>
        <w:t>РЕШЕНИЕ</w:t>
      </w:r>
    </w:p>
    <w:p>
      <w:r>
        <w:t>по делу № 078/06/105-1251/2025 о нарушении законодательства о контрактной системе</w:t>
      </w:r>
    </w:p>
    <w:p>
      <w:r>
        <w:t>07.07.2025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СПБ ГБУЗ «Городская поликлиника № 111» (далее – Заказчик):,</w:t>
      </w:r>
    </w:p>
    <w:p>
      <w:r>
        <w:t>ООО «АРМТЭКС» (далее – Заявитель):,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15877/25 от 02.07.2025) на действия Заказчика при определении (подрядчика, исполнителя) путем проведения электронного аукциона на поставку компьютерной техники для нужд СПб ГБУЗ «Городская поликлиника №111» в 2025 году. (извещение № 0372200084725000050)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25.06.2025 на Официальном сайте Единой информационной системы в сфере закупок www.zakupki.gov.ru (далее – ЕИС), номер извещения 0372200084725000050. Начальная (максимальная) цена контракта – 2 292 275, 00 рублей.</w:t>
      </w:r>
    </w:p>
    <w:p>
      <w:r>
        <w:t>В своей жалобе Заявитель оспаривает положения закупочной документации, полагая, что при формировании описания объекта закупки Заказчиком допущены нарушения норм законодательства о контрактной системе. В частности, Заявитель указывает на то, что в отношении отдельных товаров, входящих в состав комплексной позиции, Заказчиком не были применены обязательные сведения, содержащиеся в каталоге товаров, работ, услуг (КТРУ), несмотря на то, что соответствующие позиции подлежат применению.</w:t>
      </w:r>
    </w:p>
    <w:p>
      <w:r>
        <w:t>Заказчик с доводами Заявителя не согласился по основаниям, изложенным в письменных возражениях на жалобу.</w:t>
      </w:r>
    </w:p>
    <w:p>
      <w:r>
        <w:t>Комиссия УФАС, ознакомившись с представленными документами и информацией, в том числе, содержащейся в ЕИС, заслушав пояснения Заказчика, приходит к следующим выводам</w:t>
      </w:r>
    </w:p>
    <w:p>
      <w:r>
        <w:t>1. Согласно п. 5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6 ст. 23 Закона о контрактной системе,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(далее – Правила использования КТРУ) установлены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Пунктом 3 Правил использования КТРУ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Согласно п. 4 Правил использования КТРУ, заказчики обязаны применять информацию, включенную в позицию каталога в соответствии с подпунктами «б»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КТРУ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Также в п. 8 Правил использования КТРУ установлено, что при включении в состав одного лота (одного товара, работы, услуги) нескольких товаров, работ, услуг, на которые в каталоге имеются подлежащие применению позиции каталога и на которые в каталоге отсутствуют соответствующие позиции, заказчик руководствуется требованиями настоящих Правил в отношении каждого такого товара, работы услуги, на которые в каталоге имеется подлежащая применению позиция.</w:t>
      </w:r>
    </w:p>
    <w:p>
      <w:r>
        <w:t>Таким образом, в соответствии с пунктом 5 части 1 статьи 42 и частью 6 статьи 23 Закона о контрактной системе, заказчик при формировании извещения о закупке обязан использовать сведения, содержащиеся в каталоге товаров, работ, услуг (КТРУ), в том числе наименование товара, единицу измерения и описание, если они содержатся в соответствующей позиции каталога. Порядок применения КТРУ установлен Правилами, утверждёнными постановлением Правительства Российской Федерации от 08.02.2017 № 145.</w:t>
      </w:r>
    </w:p>
    <w:p>
      <w:r>
        <w:t>Из материалов дела следует, что Заказчиком при описании отдельных товаров, входящих в состав закупочной позиции, в частности, «рабочей станции», фактически были предусмотрены характеристики, соответствующие таким товарам, как монитор, клавиатура и мышь, которые в соответствии с Общероссийским классификатором продукции по видам экономической деятельности имеют самостоятельные коды и отражены в действующем КТРУ. В частности, речь идёт о кодах:</w:t>
      </w:r>
    </w:p>
    <w:p>
      <w:r>
        <w:t>26.20.15.120 — системный блок;</w:t>
      </w:r>
    </w:p>
    <w:p>
      <w:r>
        <w:t>26.20.16.110-00000002 — клавиатура;</w:t>
      </w:r>
    </w:p>
    <w:p>
      <w:r>
        <w:t>26.20.16.170-00000002 — мышь.</w:t>
      </w:r>
    </w:p>
    <w:p>
      <w:r>
        <w:t>Вместе с тем, в рассматриваемой закупке Заказчик при установлении требований к вышеуказанным изделиям не применил соответствующие коды КТРУ и допустил самостоятельное определение характеристик, включая, в частности, параметры, что не соответствует закреплённому Законом порядку формирования описания объекта закупки.</w:t>
      </w:r>
    </w:p>
    <w:p>
      <w:r>
        <w:t>Следует особо подчеркнуть, что в условиях действия ограничений, установленных в рамках национального режима, Заказчик не вправе формировать описание объекта закупки с использованием требований, не предусмотренных КТРУ, если в отношении закупаемого товара утверждена и подлежит применению позиция каталога. Любое отступление от обязательных характеристик, установленных КТРУ в данном случае представляет собой нарушение порядка формирования извещения и препятствует обеспечению равного доступа к участию в закупке, особенно для поставщиков, ориентированных на продукцию отечественного происхождения.</w:t>
      </w:r>
    </w:p>
    <w:p>
      <w:r>
        <w:t>Таким образом, действия Заказчика при составлении извещения и документации о закупке нарушают положения пункт 5 части 1 статьи 42, части 6 статьи 23 Закона о контрактной системе.</w:t>
      </w:r>
    </w:p>
    <w:p>
      <w:r>
        <w:t>2. . В силу п. 1 ч. 1 ст. 33 Закона о контрактной системе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п. 2 ч. 1 ст. 33 Закона о контрактной системе,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системе, описание объекта закупки в соответствии с требованиями, указанными в части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Не допускается включение в документацию о закупке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 (ч. 3 ст. 33 Закона о контрактной системе).</w:t>
      </w:r>
    </w:p>
    <w:p>
      <w:r>
        <w:t>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товара именно с такими характеристиками, которые ему необходимы, а с другой стороны, не ограничить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при формировании технического задания заказчику в рамках Закона о контрактной системе предоставлены полномочия по самостоятельному определению требований к конкретным показателям товаров, в наибольшей степени удовлетворяющих его потребности, с учетом норм Закона о контрактной системе.</w:t>
      </w:r>
    </w:p>
    <w:p>
      <w:r>
        <w:t>Описание объекта закупки содержит указание на требования к предустановленной операционной системе:</w:t>
      </w:r>
    </w:p>
    <w:p>
      <w:r>
        <w:t>Лицензия «Astra Linux Special Edition», уровень защищенности «Усиленный» («Воронеж»), (ФСТЭК) поддержка 36 месяцев.</w:t>
      </w:r>
    </w:p>
    <w:p>
      <w:r>
        <w:t>Вместе с тем, изучив вышеуказанное требование, Комиссия УФАС приходит к выводу, что Заказчиком не предусмотрена возможность наличия эквивалентной предустановленной операционной системы, что противоречит п. 1 ч. 1 ст. 33 Закона о контрактной системе, а довод жалобы признается обоснованным.</w:t>
      </w:r>
    </w:p>
    <w:p>
      <w:r>
        <w:t>3. Выявленные в действиях Заказчика нарушения являются существенными, что дает основание для выдачи обязательного для исполнения предписания об их устранении.</w:t>
      </w:r>
    </w:p>
    <w:p>
      <w:r>
        <w:t>Комиссия УФАС, руководствуясь ст. ст. 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«АРМТЭКС» обоснованной.</w:t>
      </w:r>
    </w:p>
    <w:p>
      <w:r>
        <w:t>Признать в действиях Заказчика нарушение п. 5 ч. 1 ст. 42 (ч. 6 ст. 23) Закона о контрактной системе.</w:t>
      </w:r>
    </w:p>
    <w:p>
      <w:r>
        <w:t>Выдать Заказчику, аукционной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