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202500114959008421</w:t>
      </w:r>
    </w:p>
    <w:p>
      <w:r>
        <w:rPr>
          <w:b/>
        </w:rPr>
        <w:t xml:space="preserve">УФАС: </w:t>
      </w:r>
      <w:r>
        <w:t>УФАС по Санкт-Петербургу</w:t>
      </w:r>
    </w:p>
    <w:p>
      <w:r>
        <w:rPr>
          <w:b/>
        </w:rPr>
        <w:t xml:space="preserve">Дата решения: </w:t>
      </w:r>
      <w:r>
        <w:t>11.07.2025</w:t>
      </w:r>
    </w:p>
    <w:p>
      <w:r>
        <w:rPr>
          <w:b/>
        </w:rPr>
        <w:t xml:space="preserve">Исход: </w:t>
      </w:r>
      <w:r>
        <w:t>обоснована</w:t>
      </w:r>
    </w:p>
    <w:p>
      <w:r>
        <w:rPr>
          <w:b/>
        </w:rPr>
        <w:t xml:space="preserve">Закупка №: </w:t>
      </w:r>
      <w:r>
        <w:t>0372200199625000056</w:t>
      </w:r>
    </w:p>
    <w:p>
      <w:r>
        <w:rPr>
          <w:b/>
        </w:rPr>
        <w:t xml:space="preserve">Заказчик: </w:t>
      </w:r>
      <w:r>
        <w:t>Государственное бюджетное дошкольное образовательное учреждение детский САД № 10 Василеостровского района Санкт-Петербурга</w:t>
      </w:r>
    </w:p>
    <w:p>
      <w:r>
        <w:rPr>
          <w:b/>
        </w:rPr>
        <w:t xml:space="preserve">Заявитель: </w:t>
      </w:r>
      <w:r>
        <w:t>ООО «Прогресс-арена»</w:t>
      </w:r>
    </w:p>
    <w:p>
      <w:r>
        <w:rPr>
          <w:b/>
        </w:rPr>
        <w:t xml:space="preserve">Первоисточник в ЕИС: </w:t>
      </w:r>
      <w:r>
        <w:t>https://zakupki.gov.ru/epz/complaint/card/complaint-information.html?complaintNumber=202500114959008421</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ДОШКОЛЬНОЕ ОБРАЗОВАТЕЛЬНОЕ УЧРЕЖДЕНИЕ ДЕТСКИЙ САД № 10 ВАСИЛЕОСТРОВСКОГО РАЙОНА САНКТ-ПЕТЕРБУРГА</w:t>
              <w:br/>
              <w:t>Российская Федерация, 199053, Санкт-Петербург, Волховский, Д.6 ЛИТЕР Г</w:t>
            </w:r>
          </w:p>
        </w:tc>
      </w:tr>
    </w:tbl>
    <w:p>
      <w:r>
        <w:t>ООО "ПРОГРЕСС-АРЕНА"</w:t>
      </w:r>
    </w:p>
    <w:p>
      <w:r>
        <w:t>185035, РЕСПУБЛИКА КАРЕЛИЯ, г.о. ПЕТРОЗАВОДСКИЙ, Г ПЕТРОЗАВОДСК, Р-Н ЦЕНТР, УЛ МАКСИМА ГОРЬКОГО, Д. 25, ПОМЕЩ. 1</w:t>
      </w:r>
    </w:p>
    <w:p>
      <w:r>
        <w:t>ООО «РТС-тендер»</w:t>
      </w:r>
    </w:p>
    <w:p>
      <w:r>
        <w:t>121151, г. Москва,</w:t>
      </w:r>
    </w:p>
    <w:p>
      <w:r>
        <w:t>наб. Тараса Шевченко, д. 23а,</w:t>
      </w:r>
    </w:p>
    <w:p>
      <w:r>
        <w:t>этаж 25 помещение № 1</w:t>
      </w:r>
    </w:p>
    <w:p>
      <w:r>
        <w:t>РЕШЕНИЕ</w:t>
      </w:r>
    </w:p>
    <w:p>
      <w:r>
        <w:t>по делу № 078/06/105-1337/2025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11.07.2025</w:t>
            </w:r>
          </w:p>
        </w:tc>
        <w:tc>
          <w:tcPr>
            <w:tcW w:type="dxa" w:w="4320"/>
          </w:tcPr>
          <w:p>
            <w:r>
              <w:t>Санкт-Петербург</w:t>
            </w:r>
          </w:p>
        </w:tc>
      </w:tr>
    </w:tbl>
    <w:p>
      <w:r>
        <w:t>Комиссия Санкт-Петербургского УФАС России по контролю в сфере закупок (далее – Комиссия УФАС) в составе:</w:t>
      </w:r>
    </w:p>
    <w:p>
      <w:r>
        <w:t>при участии посредством системы видео-конференц-связи представителей ГБДОУ детский сад № 10 Василеостровского района Санкт-Петербурга:</w:t>
      </w:r>
    </w:p>
    <w:p>
      <w:r>
        <w:t>ООО «Прогресс-Арена»:</w:t>
      </w:r>
    </w:p>
    <w:p>
      <w:r>
        <w:t>представители ООО «РТС-тендер» на заседание Комиссии УФАС не явились, о дате и времени рассмотрения жалобы посредством системы видео-конференц-связи уведомлены надлежащим образом,</w:t>
      </w:r>
    </w:p>
    <w:p>
      <w:r>
        <w:t>рассмотрев посредством системы видео-конференц-связи жалобу ООО "ПРОГРЕСС-АРЕНА" (далее – Заявитель) на действия ГБДОУ ДЕТСКИЙ САД №10 ВАСИЛЕОСТРОВСКОГО РАЙОНА (далее – Заказчик) при проведении Заказчиком, комиссией по осуществлению закупок (далее – Комиссия по осуществлению закупок), ООО «РТС-тендер» (далее – Оператор электронной площадки) электронного аукциона на право заключения государственного контракта на поставку классических элементов для групповых помещений (номер извещения в единой информационной системе в сфере закупок www.zakupki.gov.ru (далее – ЕИС) – 0372200199625000056)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описательная часть</w:t>
      </w:r>
    </w:p>
    <w:p>
      <w:r>
        <w:t>УСТАНОВИЛА:</w:t>
      </w:r>
    </w:p>
    <w:p>
      <w:r>
        <w:t>В Санкт-Петербургское УФАС России поступила жалоба Заявителя на действия Заказчика при проведении Заказчиком, Комиссией по осуществлению закупок, Оператором электронной площадки аукциона.</w:t>
      </w:r>
    </w:p>
    <w:p>
      <w:r>
        <w:t>По мнению Заявителя, его права и законные интересы нарушены следующими действиями Заказчика: ненадлежащее описание объекта закупки.</w:t>
      </w:r>
    </w:p>
    <w:p>
      <w:r>
        <w:t>Представитель Заказчика на заседании Комиссии УФАС не согласился с доводом Заявителя и сообщил, что при проведении аукциона Заказчик действовал в соответствии с Законом о контрактной системе.</w:t>
      </w:r>
    </w:p>
    <w:p>
      <w:r>
        <w:t>В соответствии с Извещением, протоколами, составленными в ходе проведения :</w:t>
      </w:r>
    </w:p>
    <w:p>
      <w:r>
        <w:t>Извещение размещено в ЕИС – 30.06.2025 13:51 час.;</w:t>
      </w:r>
    </w:p>
    <w:p>
      <w:r>
        <w:t>способ определения поставщика (подрядчика, исполнителя) – электронный аукцион;</w:t>
      </w:r>
    </w:p>
    <w:p>
      <w:r>
        <w:t>начальная (максимальная) цена контракта (далее – НМЦК) – 2 898 330, 37 руб.;</w:t>
      </w:r>
    </w:p>
    <w:p>
      <w:r>
        <w:t>источник финансирования – внебюджетные средства, средства бюджетных учреждений;</w:t>
      </w:r>
    </w:p>
    <w:p>
      <w:r>
        <w:t>дата окончания подачи заявок на участие в аукционе – 08.07.2025;</w:t>
      </w:r>
    </w:p>
    <w:p>
      <w:r>
        <w:t>на участие в аукционе подано 3 заявки от участников закупки;</w:t>
      </w:r>
    </w:p>
    <w:p>
      <w:r>
        <w:t>дата подачи ценовых предложений – 08.07.2025;</w:t>
      </w:r>
    </w:p>
    <w:p>
      <w:r>
        <w:t>по результатам рассмотрения заявок 1 заявка признана соответствующей требованиям извещения о проведении аукциона и Закона о контрактной системе.</w:t>
      </w:r>
    </w:p>
    <w:p>
      <w:r>
        <w:t>победителем аукциона признан участник с предложением о цене контракта в размере 2 811 380, 41 руб.</w:t>
      </w:r>
    </w:p>
    <w:p>
      <w:r>
        <w:t>1. Согласно первому доводу жалобы Заявитель обращает внимание Комиссии УФАС на излишне большой объем требований к поставляемым товарам, а также на само содержание требований к значениям показателей поставляемых товаров. По мнению Заявителя, извещение об осуществлении закупки содержит избыточный объем требований к показателям, позволяющим определить соответствие товара, поставляемого Заказчику.</w:t>
      </w:r>
    </w:p>
    <w:p>
      <w:r>
        <w:t>Комиссия УФАС установила, что приложенный к извещению о проведении электронного аукциона файл «Приложение_№_1_-_Описание_объекта_закупки[1].docx» содержит требования к показателям товаров на 288 страницах.</w:t>
      </w:r>
    </w:p>
    <w:p>
      <w:r>
        <w:t>В соответствии с частью 4 статьи 4 Закона о контрактной системе, информация, указанная в части 3 настоящей статьи, размещается на официальном сайте, если иное не предусмотрено в соответствии с настоящим Федеральным законом. Информация, размещенная на официальном сайте, является общедоступной и предоставляется безвозмездно. Сведения, составляющие государственную тайну, не подлежат размещению в единой информационной системе.</w:t>
      </w:r>
    </w:p>
    <w:p>
      <w:r>
        <w:t>Согласно пункту 1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r>
        <w:t>В силу части 2 статьи 33 Закона о контрактной системе, описание объекта закупки в соответствии с требованиями, указанными в части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Согласно пункту 1 части 1 статьи 33 Закона о контрактной системе, Заказчик в случаях, предусмотренных настоящим Федеральным законом, при описании объекта закупки должен руководствоваться следующими правилами:</w:t>
      </w:r>
    </w:p>
    <w:p>
      <w:r>
        <w:t>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Количество страниц, содержащееся в приложенном файле, по мнению Комиссии УФАС, не может привести к ограничению количества потенциальных участников закупки, и не является избыточным. Кроме того, Заявителем не представлено в материалы дела доказательств возможного нарушения Закона о контрактной системе со стороны Заказчика.</w:t>
      </w:r>
    </w:p>
    <w:p>
      <w:r>
        <w:t>2. В силу п. 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В силу ч. 5 ст. 23 Закона о контрактной системе,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
        <w:t>В соответствии с ч. 6 ст. 23 Закона о контрактной системе,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
        <w:t>Согласно постановлению Правительства РФ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Постановление Правительства № 145) утверждены Правила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(далее – Правила формирования каталога), Правила использования каталога товаров, работ, услуг для обеспечения государственных и муниципальных нужд (далее – Правила использования каталога).</w:t>
      </w:r>
    </w:p>
    <w:p>
      <w:r>
        <w:t>Согласно п. 1 Правил формирования каталога, они определяют порядок формирования и ведения каталога товаров, работ, услуг для обеспечения государственных и муниципальных нужд, в том числе состав включаемой в него информации.</w:t>
      </w:r>
    </w:p>
    <w:p>
      <w:r>
        <w:t>Согласно п. 10 Правил формирования каталога, в позицию каталога включается следующая информация:</w:t>
      </w:r>
    </w:p>
    <w:p>
      <w:r>
        <w:t>а) код позиции каталога, формируемый в соответствии с пунктом 12 настоящих Правил;</w:t>
      </w:r>
    </w:p>
    <w:p>
      <w:r>
        <w:t>б) наименование товара, работы, услуги (для целей настоящих Правил под наименованием товара, работы, услуги понимается включаемое в позицию каталога наименование соответствующего товара, работы, услуги, которое не является торговым наименованием, не содержит указание на конкретного производителя и (или) место происхождения товара);</w:t>
      </w:r>
    </w:p>
    <w:p>
      <w:r>
        <w:t>в) единицы измерения количества товара, объема выполняемой работы, оказываемой услуги согласно Общероссийскому классификатору единиц измерения ОК 015-94 (ОКЕИ) (при наличии);</w:t>
      </w:r>
    </w:p>
    <w:p>
      <w:r>
        <w:t>г) информация, содержащая описание товара, работы, услуги, если такое описание сформировано в соответствии с пунктом 13 настоящих Правил;</w:t>
      </w:r>
    </w:p>
    <w:p>
      <w:r>
        <w:t>д) справочная информация: коды, соответствующие товару, работе, услуге согласно российским и международным системам классификации, каталогизации (при наличии); информация о типовых контрактах, типовых условиях контрактов, подлежащих применению при закупке товара, работы, услуги (при наличии);</w:t>
      </w:r>
    </w:p>
    <w:p>
      <w:r>
        <w:t>е) дата включения в каталог позиции;</w:t>
      </w:r>
    </w:p>
    <w:p>
      <w:r>
        <w:t>ж) дата (даты) начала обязательного применения информации, включенной в позицию каталога;</w:t>
      </w:r>
    </w:p>
    <w:p>
      <w:r>
        <w:t>з) дата окончания применения позиции каталога (при необходимости);</w:t>
      </w:r>
    </w:p>
    <w:p>
      <w:r>
        <w:t>и) дополнительная информация в соответствии с пунктом 19 настоящих Правил.</w:t>
      </w:r>
    </w:p>
    <w:p>
      <w:r>
        <w:t>Согласно п. 2 Правил использования каталога, каталог используется заказчиками в целях:</w:t>
      </w:r>
    </w:p>
    <w:p>
      <w:r>
        <w:t>а) обеспечения применения информации о товарах, работах, услугах, в том числе в:</w:t>
      </w:r>
    </w:p>
    <w:p>
      <w:r>
        <w:t>извещении об осуществлении закупки;</w:t>
      </w:r>
    </w:p>
    <w:p>
      <w:r>
        <w:t>приглашении принять участие в определении поставщика (подрядчика, исполнителя) (далее - приглашение);</w:t>
      </w:r>
    </w:p>
    <w:p>
      <w:r>
        <w:t>документации о закупке (в случае если Федеральным законом предусмотрена документация о закупке);</w:t>
      </w:r>
    </w:p>
    <w:p>
      <w:r>
        <w:t>контракте;</w:t>
      </w:r>
    </w:p>
    <w:p>
      <w:r>
        <w:t>реестре контрактов, заключенных заказчиками;</w:t>
      </w:r>
    </w:p>
    <w:p>
      <w:r>
        <w:t>б) описания объектов закупки, которое включается в извещение об осуществлении закупки, приглашение и документацию о закупке (в случае если Федеральным законом предусмотрена документация о закупке).</w:t>
      </w:r>
    </w:p>
    <w:p>
      <w:r>
        <w:t>Согласно п. 4 Правил использования каталога, Заказчики обязаны применять информацию, включенную в позицию каталога в соответствии с подпунктами «б» - «г» и «е» - «з» пункта 10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с указанной в ней даты начала обязательного применения. При этом заказчик обязан при осуществлении закупки использовать информацию, включенную в соответствующую позицию, в том числе указывать согласно такой позиции следующую информацию:</w:t>
      </w:r>
    </w:p>
    <w:p>
      <w:r>
        <w:t>а) наименование товара, работы, услуги;</w:t>
      </w:r>
    </w:p>
    <w:p>
      <w:r>
        <w:t>б) единицы измерения количества товара, объема выполняемой работы, оказываемой услуги (при наличии);</w:t>
      </w:r>
    </w:p>
    <w:p>
      <w:r>
        <w:t>в) описание товара, работы, услуги (при наличии такого описания в позиции).</w:t>
      </w:r>
    </w:p>
    <w:p>
      <w:r>
        <w:t>Исходя из совокупности вышеизложенных положений,</w:t>
      </w:r>
    </w:p>
    <w:p>
      <w:r>
        <w:t>при формировании объекта закупки на поставку товара по позициям, предусмотренных каталогом товаров, работ, услуг, Заказчик обязан применять информацию, включенную в позицию каталога, а также обосновать использование иных, не предусмотренных позицией каталога, характеристик.</w:t>
      </w:r>
    </w:p>
    <w:p>
      <w:r>
        <w:t>Согласно п.п. 6-7 Правил использования каталога, в случае предоставления иной и дополнительной информации, предусмотренной пунктом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w:t>
      </w:r>
    </w:p>
    <w:p>
      <w:r>
        <w:t>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статьи 33 Федерального закона.</w:t>
      </w:r>
    </w:p>
    <w:p>
      <w:r>
        <w:t>При проведении предусмотренных Федеральным законом электронных процедур, закрытых электронных процедур характеристики объекта закупки, предусмотренные пунктом 1 части 1 статьи 33 Федерального закона, указываются с использованием единой информационной системы при формировании извещения об осуществлении закупки, приглашения принять участие в определении поставщика (подрядчика, исполнителя) в соответствии с частью 1 статьи 42, пунктом 1 части 1 статьи 75 Федерального закона соответственно.</w:t>
      </w:r>
    </w:p>
    <w:p>
      <w:r>
        <w:t>В качестве кода каталога товара, работы, услуги, на которые в каталоге отсутствует соответствующая позиция, указывается код такого товара, работы, услуги согласно Общероссийскому классификатору продукции по видам экономической деятельности (ОКПД2) ОК 034-2014.</w:t>
      </w:r>
    </w:p>
    <w:p>
      <w:r>
        <w:t>Исходя из совокупности вышеизложенных положений, при формировании объекта закупки на поставку товара по позициям, предусмотренных каталогом товаров, работ, услуг, Заказчик обязан применять информацию, включенную в позицию каталога, а также обосновать использование иных, не предусмотренных позицией каталога, характеристик.</w:t>
      </w:r>
    </w:p>
    <w:p>
      <w:r>
        <w:t>Кроме того, из системного толкования абц. 2 п. 7 Правил следует, что в случае отсутствия необходимого кода каталога товара, работы, услуги, указывается код такого товара, работы, услуги согласно ОКПД2.</w:t>
      </w:r>
    </w:p>
    <w:p>
      <w:r>
        <w:t>В силу п. 1 ч. 2 ст. 42 Закона о контрактной системе извещение об осуществлении закупки, если иное не предусмотрено настоящим Федеральным законом, должно содержать следующий электронный документ: описание объекта закупки в соответствии со статьей 33 Закона о контрактной системе.</w:t>
      </w:r>
    </w:p>
    <w:p>
      <w:r>
        <w:t>В силу п.п. 1 и 2 ч. 1 ст. 33 Закона о контрактной системе заказчик в случаях, предусмотренных настоящим Федеральным законом, при описании объекта закупки должен руководствоваться следующими правилами:</w:t>
      </w:r>
    </w:p>
    <w:p>
      <w:r>
        <w:t>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w:t>
      </w:r>
    </w:p>
    <w:p>
      <w:r>
        <w:t>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Частью 2 ст. 33 Закона о контрактной системе установлено, что описание объекта закупки в соответствии с требованиями, указанными в части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 (ч. 3 ст. 33 Закона о контрактной системе).</w:t>
      </w:r>
    </w:p>
    <w:p>
      <w:r>
        <w:t>В соответствии с ч. 2 ст. 19 Закона о контрактной системе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
        <w:t>Таким образом, по смыслу ст. 33 Закона о контрактной системе,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 а также спецификации и параметров и характеристик товара, в наибольшей степени удовлетворяющих его потребности. Однако из буквального при описании объекта закупки должны таким образом прописать требования к закупаемым товарам, работам, услугам, чтобы, с одной стороны, повысить шансы на приобретение услуги именно с такими характеристиками, которые ему необходимы.</w:t>
      </w:r>
    </w:p>
    <w:p>
      <w:r>
        <w:t>При формировании объекта закупки Заказчики самостоятельно определяют код ОКПД 2 путем соотнесения объекта закупки к соответствующему коду и наименованию позиции ОКПД 2 с учетом специфики закупки в области применения.</w:t>
      </w:r>
    </w:p>
    <w:p>
      <w:r>
        <w:t>При этом Комиссия УФАС отмечает, что не допускается выбор Заказчиком кода по ОКПД 2 с целью изменения способа определения поставщика или иных неправомерных действий, которые могут возникнуть в случае указания неверного кода.</w:t>
      </w:r>
    </w:p>
    <w:p>
      <w:r>
        <w:t>Описание объекта закупки установлено с использованием единой информационной системы при формировании извещения об осуществлении закупки, а также установлено в электронном документе к извещению.</w:t>
      </w:r>
    </w:p>
    <w:p>
      <w:r>
        <w:t>На заседании Комиссии УФАС отмечено, что описание объекта закупки по позициям сформировано Заказчиком с применением информации, включенной в позиции КТРУ 13.92.15.120-00000001 «Портьеры», а также с учетом дополнительной информации (дополнительных требований).</w:t>
      </w:r>
    </w:p>
    <w:p>
      <w:r>
        <w:t>Комиссией УФАС также отмечается, что установленное требование относительно составных частей товара не является чрезмерным, избыточным или ограничивающим конкуренцию. Указанные требования направлены на обеспечение долговечности конструкции, гарантирование корректной работы механизмов, поддержание эстетичного внешнего вида изделия, создание комфортных условий эксплуатации, предотвращение преждевременного износа компонентов. Законодательством о контрактной системе, в частности частью 1 статьи 33, Заказчику предоставлено право устанавливать такие требования к товарам, работам, услугам, которые обеспечивают полное и качественное удовлетворение его нужд. При этом действующее законодательство не обязывает Заказчика ограничиваться исключительно характеристиками, содержащимися в позиции каталога КТРУ, а напротив — позволяет при необходимости дополнять описание объекта закупки индивидуальными характеристиками, при условии их обоснования.</w:t>
      </w:r>
    </w:p>
    <w:p>
      <w:r>
        <w:t>3. Вместе с тем, в соответствии с п. 3 письма ФАС России от 1 июля 2016 г. № ИА/44536/16, при установлении Заказчиком в документации, извещении о закупке требований к описанию участниками закупки товаров следует учесть, что Закон о контрактной системе не обязывает участника закупки иметь в наличии товар в момент подачи заявки, в связи с чем требования заказчика подробно описать в заявке (путем предоставления показателей и (или) их значений, как в виде одного значения, диапазона значений, так и сохранения неизменного значения) химический состав и (или) компоненты товара, и (или) показатели технологии производства, испытания товара, и (или) показатели, значения которых становятся известными при испытании определенной партии товара после его производства, имеют признаки ограничения доступа к участию в закупке.</w:t>
      </w:r>
    </w:p>
    <w:p>
      <w:r>
        <w:t>Согласно ч. 3 ст. 43 Закона о контрактной системе, требовать от участника закупки представления иных информации и документов, за исключением предусмотренных частями 1 и 2 настоящей статьи, не допускается.</w:t>
      </w:r>
    </w:p>
    <w:p>
      <w:r>
        <w:t>Включение Заказчиком в Техническое задание требований к показателям, значения которых становятся известными при испытании определенной партии товара после его производства, является излишним.</w:t>
      </w:r>
    </w:p>
    <w:p>
      <w:r>
        <w:t>В отношении товаров Заказчиком установлено, в том числе, следующие требования:</w:t>
      </w:r>
    </w:p>
    <w:p>
      <w:r>
        <w:t>Поглощение влаги тканью:</w:t>
      </w:r>
    </w:p>
    <w:tbl>
      <w:tblPr>
        <w:tblStyle w:val="TableGrid"/>
        <w:tblW w:type="auto" w:w="0"/>
        <w:tblLook w:firstColumn="1" w:firstRow="1" w:lastColumn="0" w:lastRow="0" w:noHBand="0" w:noVBand="1" w:val="04A0"/>
      </w:tblPr>
      <w:tblGrid>
        <w:gridCol w:w="4320"/>
        <w:gridCol w:w="4320"/>
      </w:tblGrid>
      <w:tr>
        <w:tc>
          <w:tcPr>
            <w:tcW w:type="dxa" w:w="4320"/>
          </w:tcPr>
          <w:p>
            <w:r>
              <w:t>Температура плавления градусов Цельсия:</w:t>
            </w:r>
          </w:p>
        </w:tc>
        <w:tc>
          <w:tcPr>
            <w:tcW w:type="dxa" w:w="4320"/>
          </w:tcPr>
          <w:p>
            <w:r>
              <w:t>≥ 250 и ≤ 265</w:t>
            </w:r>
          </w:p>
        </w:tc>
      </w:tr>
    </w:tbl>
    <w:p>
      <w:r>
        <w:t>Учитывая, что Закон о контрактной системе не обязывает участника закупки иметь в наличии товар, подлежащий описанию в соответствии с требованиями извещения, вышеприведенный пример подробного изложения в извещении требований к описанию участниками закупок испытательных характеристик либо химических элементов и компонентов товара ограничивают возможность участников закупки предоставить надлежащее и достоверное предложение в составе заявки на участие в закупке, в чем усматривается нарушение ч. 3 ст. 43 Закона о контрактной системе.</w:t>
      </w:r>
    </w:p>
    <w:p>
      <w:r>
        <w:t>Указанные показатели не исчерпывают весь перечень требований, так как для иных позиций установлены аналогичные характеристики, выявляемые при проведении испытаний.</w:t>
      </w:r>
    </w:p>
    <w:p>
      <w:r>
        <w:t>4. Согласно части 2 статьи 33 Закона о контрактной системе, описание объекта закупки в соответствии с требованиями, указанными в части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Комиссией УФАС установлено, что при описании товарной позиции «портьеры» в извещении о проведении закупки Заказчиком был использован показатель «удлинение процентов» в формулировке «≥ 12 и ≤ 55». Между тем, указанное наименование показателя и выбранная формулировка не позволяют однозначно определить, к какому именно свойству изделия они относятся и каким образом соотносятся с функциональными и потребительскими свойствами товара.</w:t>
      </w:r>
    </w:p>
    <w:p>
      <w:pPr>
        <w:pStyle w:val="Heading2"/>
      </w:pPr>
      <w:r>
        <w:t>мотивировочная часть</w:t>
      </w:r>
    </w:p>
    <w:p>
      <w:r>
        <w:t>Анализируя представленные материалы, Комиссия УФАС приходит к выводу, что используемый Заказчиком показатель по всей видимости должен был указывать допустимый диапазон удлинения самого изделия (портьеры) как текстильного полотна, отражающий его эластичность или деформируемость при эксплуатации. Вместе с тем, выбранная формулировка «удлинение процентов: ≥ 12 и ≤ 55» без уточнения метода испытаний, направления измерения (по основе или по утку) и единообразного толкования термина фактически искажает значение показателя и не отражает объективной потребности Заказчика в товаре с заданными свойствами.</w:t>
      </w:r>
    </w:p>
    <w:p>
      <w:r>
        <w:t>Таким образом, установленный Заказчиком показатель не позволяет участникам закупки надлежащим образом определить требования к характеристикам предлагаемого товара, что создает неопределенность в части описания объекта закупки, противоречит принципу единообразия и объективности требований и, следовательно, нарушает требования части 2 статьи 33 Закона о контрактной системе.</w:t>
      </w:r>
    </w:p>
    <w:p>
      <w:r>
        <w:t>5. Выявленное в действиях Заказчика нарушение является существенным, что дает основание для выдачи обязательного для исполнения предписания о его устранении.</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 УФАС</w:t>
      </w:r>
    </w:p>
    <w:p>
      <w:pPr>
        <w:pStyle w:val="Heading2"/>
      </w:pPr>
      <w:r>
        <w:t>резолютивная часть</w:t>
      </w:r>
    </w:p>
    <w:p>
      <w:r>
        <w:t>РЕШИЛА:</w:t>
      </w:r>
    </w:p>
    <w:p>
      <w:r>
        <w:t>1. Признать жалобу ООО "ПРОГРЕСС-АРЕНА" обоснованной частично.</w:t>
      </w:r>
    </w:p>
    <w:p>
      <w:r>
        <w:t>2. Признать в действиях Заказчика нарушение части 2 статьи 33 Закона о контрактной системе, части 3 статьи 43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Управления материалы от 11.07.2025 по делу № 078/06/105-1337/2025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ДОШКОЛЬНОЕ ОБРАЗОВАТЕЛЬНОЕ УЧРЕЖДЕНИЕ ДЕТСКИЙ САД № 10 ВАСИЛЕОСТРОВСКОГО РАЙОНА САНКТ-ПЕТЕРБУРГА</w:t>
              <w:br/>
              <w:t>Российская Федерация, 199053, Санкт-Петербург, Волховский, Д.6 ЛИТЕР Г</w:t>
            </w:r>
          </w:p>
        </w:tc>
      </w:tr>
    </w:tbl>
    <w:p>
      <w:r>
        <w:t>ООО "ПРОГРЕСС-АРЕНА"</w:t>
      </w:r>
    </w:p>
    <w:p>
      <w:r>
        <w:t>185035, РЕСПУБЛИКА КАРЕЛИЯ, г.о. ПЕТРОЗАВОДСКИЙ, Г ПЕТРОЗАВОДСК, Р-Н ЦЕНТР, УЛ МАКСИМА ГОРЬКОГО, Д. 25, ПОМЕЩ. 1</w:t>
      </w:r>
    </w:p>
    <w:p>
      <w:r>
        <w:t>ООО «РТС-тендер»</w:t>
      </w:r>
    </w:p>
    <w:p>
      <w:r>
        <w:t>121151, г. Москва,</w:t>
      </w:r>
    </w:p>
    <w:p>
      <w:r>
        <w:t>наб. Тараса Шевченко, д. 23а,</w:t>
      </w:r>
    </w:p>
    <w:p>
      <w:r>
        <w:t>этаж 25 помещение № 1</w:t>
      </w:r>
    </w:p>
    <w:p>
      <w:r>
        <w:t>ПРЕДПИСАНИЕ</w:t>
      </w:r>
    </w:p>
    <w:p>
      <w:r>
        <w:t>по делу № 078/06/105-1337/2025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11.07.2025</w:t>
            </w:r>
          </w:p>
        </w:tc>
        <w:tc>
          <w:tcPr>
            <w:tcW w:type="dxa" w:w="4320"/>
          </w:tcPr>
          <w:p>
            <w:r>
              <w:t>Санкт-Петербург</w:t>
            </w:r>
          </w:p>
        </w:tc>
      </w:tr>
    </w:tbl>
    <w:p>
      <w:r>
        <w:t>Комиссия Санкт-Петербургского УФАС России по контролю закупок (далее – Комиссия УФАС) в составе:</w:t>
      </w:r>
    </w:p>
    <w:p>
      <w:pPr>
        <w:pStyle w:val="Heading2"/>
      </w:pPr>
      <w:r>
        <w:t>мотивировочная часть</w:t>
      </w:r>
    </w:p>
    <w:p>
      <w:r>
        <w:t>на основании своего решения по делу № 078/06/105-1337/2025 о нарушении законодательства о закупках,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1.Заказчику – ГБДОУ детский сад № 10 Василеостровского района Санкт-Петербурга, аукционной комиссии устранить нарушение части 2 статьи 33 Закона о контрактной системе, части 3 статьи 43 Закона о контрактной системе и с этой целью:</w:t>
      </w:r>
    </w:p>
    <w:p>
      <w:r>
        <w:t>- в 14-дневный срок со дня размещения настоящего предписания на официальном сайте отменить все протоколы, составленные в ходе размещения заказа с номером извещения 0372200199625000056;</w:t>
      </w:r>
    </w:p>
    <w:p>
      <w:r>
        <w:t>- внести изменения в извещение о проведении аукциона, приведя его в соответствие с требованиями Закона о контрактной системе, руководствуясь мотивировочной частью решения, указанного в преамбуле настоящего предписания;</w:t>
      </w:r>
    </w:p>
    <w:p>
      <w:r>
        <w:t>- продлить срок окончания подачи заявок на участие в аукционе с номером извещения 0372200199625000056 в соответствии с требованиями законодательства о контрактной системе;</w:t>
      </w:r>
    </w:p>
    <w:p>
      <w:r>
        <w:t>- завершить процедуру закупки с номером извещения 0372200199625000056 в соответствии с законодательством о контрактной системе.</w:t>
      </w:r>
    </w:p>
    <w:p>
      <w:r>
        <w:t>2. Заказчику, аукционной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22.08.2025 на почту to78@fas.gov.ru.</w:t>
      </w:r>
    </w:p>
    <w:p>
      <w:r>
        <w:t>3. Оператору электронной площадки – ООО «РТС-тендер»:</w:t>
      </w:r>
    </w:p>
    <w:p>
      <w:r>
        <w:t>- обеспечить Заказчику техническую возможность для исполнения пункта 1 настоящего предписания;</w:t>
      </w:r>
    </w:p>
    <w:p>
      <w:r>
        <w:t>- прекратить блокирование операций по счетам для проведения операций по обеспечению участия в открытых конкурсах в электронной форме, открытых участникам закупки, подавшим заявки на участие в конкурсе, в отношении денежных средств в размере обеспечения заявки на участие в конкурсе.</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