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202500114959008772</w:t>
      </w:r>
    </w:p>
    <w:p>
      <w:r>
        <w:rPr>
          <w:b/>
        </w:rPr>
        <w:t xml:space="preserve">УФАС: </w:t>
      </w:r>
      <w:r>
        <w:t>УФАС по Санкт-Петербургу</w:t>
      </w:r>
    </w:p>
    <w:p>
      <w:r>
        <w:rPr>
          <w:b/>
        </w:rPr>
        <w:t xml:space="preserve">Дата решения: </w:t>
      </w:r>
      <w:r>
        <w:t>17.07.2025</w:t>
      </w:r>
    </w:p>
    <w:p>
      <w:r>
        <w:rPr>
          <w:b/>
        </w:rPr>
        <w:t xml:space="preserve">Исход: </w:t>
      </w:r>
      <w:r>
        <w:t>обоснована</w:t>
      </w:r>
    </w:p>
    <w:p>
      <w:r>
        <w:rPr>
          <w:b/>
        </w:rPr>
        <w:t xml:space="preserve">Закупка №: </w:t>
      </w:r>
      <w:r>
        <w:t>0172200002525000276</w:t>
      </w:r>
    </w:p>
    <w:p>
      <w:r>
        <w:rPr>
          <w:b/>
        </w:rPr>
        <w:t xml:space="preserve">Заказчик: </w:t>
      </w:r>
      <w:r>
        <w:t>Комитет по государственному заказу Санкт-Петербурга</w:t>
      </w:r>
    </w:p>
    <w:p>
      <w:r>
        <w:rPr>
          <w:b/>
        </w:rPr>
        <w:t xml:space="preserve">Заявитель: </w:t>
      </w:r>
      <w:r>
        <w:t>АО «Артис-детское питание»</w:t>
      </w:r>
    </w:p>
    <w:p>
      <w:r>
        <w:rPr>
          <w:b/>
        </w:rPr>
        <w:t xml:space="preserve">Первоисточник в ЕИС: </w:t>
      </w:r>
      <w:r>
        <w:t>https://zakupki.gov.ru/epz/complaint/card/complaint-information.html?complaintNumber=202500114959008772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ГБДОУ детский сад № 41 Адмиралтейского района Санкт-Петербурга</w:t>
              <w:br/>
              <w:t>пер. Макаренко, д.7, лит. А, пом. 1н,</w:t>
              <w:br/>
              <w:t>Санкт-Петербург, 190068</w:t>
              <w:br/>
              <w:t>Комитет по государственному заказу Санкт-Петербурга</w:t>
              <w:br/>
              <w:t>ул. Новгородская, д. 20, лит. А,</w:t>
              <w:br/>
              <w:t>Санкт-Петербург, 191144</w:t>
              <w:br/>
              <w:t>АО «Артис – Детское питание»</w:t>
              <w:br/>
              <w:t>пр. Культуры, д. 31, корп. 1, лит. А,</w:t>
              <w:br/>
              <w:t>Санкт-Петербург, 195276</w:t>
            </w:r>
          </w:p>
        </w:tc>
      </w:tr>
    </w:tbl>
    <w:p>
      <w:r>
        <w:t>РЕШЕНИЕ</w:t>
      </w:r>
    </w:p>
    <w:p>
      <w:r>
        <w:t>по делу № 078/06/105-1416/2025</w:t>
      </w:r>
    </w:p>
    <w:p>
      <w:r>
        <w:t>о нарушении законодательства о контрактной системе</w:t>
      </w:r>
    </w:p>
    <w:p>
      <w:r>
        <w:t>21.07.2025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16755/25 от 14.07.2025) на действия комиссии Уполномоченного органа по осуществлению закупок при определении (подрядчика, исполнителя) путем проведения открытого конкурса в электронной форме на обеспечение продуктами питания (поставка, хранение, перевозка до пункта назначения, погрузо-разгрузочные работы, очистка и санитарная обработка транспортных средств) для организации питания в государственных бюджетных образовательных учреждениях Адмиралтейского района Санкт-Петербурга (установлены ограничения допуска отдельных видов промышленных товаров, происходящих из иностранных государств в соответствии с Постановлением Правительства Российской Федерации от 24 декабря 2024 г. № 1875) в 2025-2026 годах (извещение номер 0172200002525000276)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02.06.2025 в единой информационной системе, номер извещения 0172200002525000276. Начальная (максимальная) цена контракта – 151 228 881,43 рублей.</w:t>
      </w:r>
    </w:p>
    <w:p>
      <w:r>
        <w:t>В жалобе Заявитель указывает на неправомерные действия Заказчика по осуществлению закупок, выразившиеся, по его мнению, в неверном применении порядка оценки в отношении заявки с номером 73047.</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показателя</w:t>
            </w:r>
          </w:p>
        </w:tc>
        <w:tc>
          <w:tcPr>
            <w:tcW w:type="dxa" w:w="4320"/>
          </w:tcPr>
          <w:p>
            <w:r>
              <w:t>Шкала оценки (баллы)</w:t>
            </w:r>
          </w:p>
        </w:tc>
      </w:tr>
      <w:tr>
        <w:tc>
          <w:tcPr>
            <w:tcW w:type="dxa" w:w="4320"/>
          </w:tcPr>
          <w:p>
            <w:r>
              <w:t>Отсутствие предложения характеристики объекта закупки</w:t>
            </w:r>
          </w:p>
        </w:tc>
        <w:tc>
          <w:tcPr>
            <w:tcW w:type="dxa" w:w="4320"/>
          </w:tcPr>
          <w:p>
            <w:r>
              <w:t>0</w:t>
            </w:r>
          </w:p>
        </w:tc>
      </w:tr>
      <w:tr>
        <w:tc>
          <w:tcPr>
            <w:tcW w:type="dxa" w:w="4320"/>
          </w:tcPr>
          <w:p>
            <w:r>
              <w:t>Предложение о наличии характеристики объекта закупки</w:t>
            </w:r>
          </w:p>
        </w:tc>
        <w:tc>
          <w:tcPr>
            <w:tcW w:type="dxa" w:w="4320"/>
          </w:tcPr>
          <w:p>
            <w:r>
              <w:t>100</w:t>
            </w:r>
          </w:p>
        </w:tc>
      </w:tr>
    </w:tbl>
    <w:p>
      <w:r>
        <w:t>Все предоставляемые в составе заявки участника сведения, а также документы должны быть достоверными, представлены в объеме, предусмотренном настоящей документацией и не противоречить описанию объекта закупки и проекту контракта. Ответственность за полноту и достоверность указанных сведений несет участник. В случае предоставления сведений, несоответствующих требованиям техническому заданию документации, проекту контракта, такая заявка будет оцениваться комиссией, как “несоответствие предоставленной участником информации требованиям документации”. Отсутствие предложения по критерию «Качественные, функциональные и экологические характеристики объекта закупки» не является основанием для принятия решения об отказе участнику закупки в допуске к участию.</w:t>
      </w:r>
    </w:p>
    <w:p>
      <w:r>
        <w:t>Настоящий порядок устанавливает общие требования к описанию и содержанию предложения участника о качественных характеристиках объекта закупки и установлен документацией в целях выявления лучшего условия исполнения контракта среди участников закупки. Настоящий порядок оценки содержит: предмет оценки, позволяющий определить исчерпывающий перечень сведений, подлежащих оценке комиссией заказчика по осуществлению закупок и соответственно подлежащих представлению участниками закупки в своих заявках для получения оценки по критерию «Качественные, функциональные и экологические характеристики объекта закупки»; инструкцию по заполнению заявки, позволяющую определить, какие именно сведения подлежат описанию и представлению участниками закупки для оценки комиссией заказчика по осуществлению закупок; зависимость (шкала оценки) между количеством присваиваемых баллов и представляемыми сведениями.</w:t>
      </w:r>
    </w:p>
    <w:p>
      <w:r>
        <w:t>Сведения, а также информация, предоставляемые участником должны непосредственно относиться к объекту закупки, требования к описанию которого содержится в техническом задании документации, не допускать двоякого толкования, противоречий, разночтений. В рамках оценки критерия «Качественные, функциональные и экологические характеристики объекта закупки» комиссия рассматривает наличие в предложении участника закупки следующих свойств: подготовка к оказанию услуг; контроль качества; входной контроль сырья и материалов; надлежащая технология оказания услуг.</w:t>
      </w:r>
    </w:p>
    <w:p>
      <w:r>
        <w:t>В рамках свойства объекта “Контроль качества” как соответствующего требованиям документации в заявке участника по данному свойству необходимо предоставить следующую информацию: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контрольных точек, периодичности, нормативных документов на методы исследований, должностных лиц или испытательных лабораторий, осуществляющих производственный контроль); о перечне лабораторно-инструментальных исследований (с указанием объекта исследования, определяемых показателей, периодичности, нормативных документов, должностных лиц или испытательных лабораторий, осуществляющих производственный контроль); перечень должностей, подлежащих медицинским осмотрам, гигиенической подготовке; периодичность проведения медицинских осмотров, с указанием видов медицинских осмотров и их периодичности; информация об осуществлении дезинфекционных, дезинсекционных и дератизационных мероприятий; методы организационного контроля во время исполнения контракта; разработанная и используемая в процессе оказания услуг методика определения показателей поставляемых товаров, включающей в себя критерии, применяемые для определения качественных показателей товаров, критерии подбора качественных показателей товаров, порядок и сроки согласования, сроки и порядок утверждения по каждому из критериев, а так же описание порядка согласования критериев, применяемых для определения качественных показателей товаров, критерии проверки товаров на готовность к их транспортировке, с описанием порядка определения каждого критерия проверки поставляемого товара; применяемые в организации способы и методы определения и фиксации качества поставляемых товаров, выраженного в контроле необходимых вкусовых показателей товаров, а так же соответствующее описание по способам и методам; а так же используемых в организации различных видов тары для хранения поставляемых товаров, подлежащих контролю целостности, с описанием процесса контроля целостности тары, периодичности контроля за потерями герметичности упаковки, периодичности контроля за потерями целостности тары, включающей в себя минимальные и максимальные сроки и периоды проведения определения целостности тары, описанием процесса контроля целостности упаковки, периодичности контроля за потерями целостности упаковки, включающей в себя минимальные сроки, время проведения определения целостности упаковки о мерах, принимаемых для снижения вероятности перекрестного загрязнения;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w:t>
      </w:r>
    </w:p>
    <w:p>
      <w:r>
        <w:t>В рамках свойства объекта “Подготовка к оказанию услуг” как соответствующего требованиям документации в заявке участника по данному свойству необходимо предоставить следующую информацию: должна включать в себя имеющуюся и используемую Участником программу подготовки организации к оказанию услуг, содержащую область применения программы, общие положения программы, включая вводную, основную и заключительную часть, схемы построения процессов подготовки к оказанию услуг на этапах оказания услуг, правила оказания услуг, сроки подготовки организации и порядок их распределения при оказании услуг, сроки и порядок контроля подготовки организации и порядок распределения контроля при оказании услуг, ответственность организации при подготовке к оказанию услуг, изменения и смена процесса подготовки к оказанию услуг, обеспеченность средствами подготовки к оказанию услуг, обеспеченность организационно-методической информацией и документами, организация уведомлений, согласование программы подготовки, контроль и настройка экономических показателей, контроль и настройка организационно-технических показателей, порядок исполнения поручений, контроль поставленных плановых задач, контроль средств подготовки, решения по уменьшению или увеличению подготовки к оказанию услуг, поддержание уровня подготовки для этапов оказания услуг, замена и корректировка состава отдельных частей программы, замена и корректировка программы, перечень программы, цели и задачи программы, ответственность за ошибки и нарушения программы, возможности программы, начало и завершение применения программы, мониторинг возникающих сложностей при применении программы, подготовка средств, используемых при оказании услуг, с указанием перечня таких средств, мониторинг возникающих ошибок и нарушений в процессе применения программы, фиксация и передача ошибок и нарушений программы, порядок распределения методов подготовки при оказании услуг, обработка замечаний представителя Заказчика по программе, отправка и получение ответов на запросы сведений по программе.</w:t>
      </w:r>
    </w:p>
    <w:p>
      <w:r>
        <w:t>В рамках свойства “Надлежащая технология оказания услуг” как соответствующего требованиям документации в заявке участника по данному свойству необходимо предоставить следующую информацию: совокупность методов для достижения желаемого результата в рамках исполнения контракта, на право заключения которого проводится настоящий конкурс, включая последовательность действий по контракту; информацию о системе модернизации процессов, в том числе о целях организации в рамках модернизации процессов, о программе модернизации процессов, о реализации модернизации; имеющуюся и используемую систему определения оптимальных условий при оказании услуг, содержащие в себя условий эффективного использования средств перевозки, погрузки и разгрузки грузов, средств проверки грузов, средств контроля за состоянием грузов при оказании услуг.</w:t>
      </w:r>
    </w:p>
    <w:p>
      <w:r>
        <w:t>В рамках свойства объекта “Входной контроль сырья и материалов” как соответствующего требованиям документации в заявке участника по данному свойству необходимо предоставить следующую информацию: об этапах проведения входного контроля с раскрытием информации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за недопущение попадания несоответствующих сырья и материалов на участок производства продукции; условия транспортировки продуктов питания, являющихся объектом закупки согласно описанию объекта закупки; условия хранения продуктов питания, являющихся объектом закупки согласно описанию объекта закупки; о целях и задачах осуществления входного контроля и области распространения; о минимальном остаточном сроке годности продукции по каждому товару при хранении, транспортировке; о нормативных документах, в соответствии с которыми осуществляется входной контроль; о перечне ситуаций, создающих угрозу санитарно-эпидемиологическому благополучию, с указанием мер профилактики; условия разгрузки по адресу заказчика продуктов питания, являющихся объектом закупки согласно описанию объекта закупки; об ответственных лица за оформление рекламаций поставщикам и возврат несоответствующего сырья и материалов.</w:t>
      </w:r>
    </w:p>
    <w:p>
      <w:r>
        <w:t>Представление предложения участника закупки о наличии характеристики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 в инструкции по заполнению заявки, будет являться предоставлением «Предложение о наличии характеристики объекта закупки» необходимым и достаточным при оценке заявок.</w:t>
      </w:r>
    </w:p>
    <w:p>
      <w:r>
        <w:t>В рамках сведений по критерию «Качественные, функциональные и экологические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w:t>
      </w:r>
    </w:p>
    <w:p>
      <w:r>
        <w:t>Описание свойств объекта закупки должно быть конкретным,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инструкции по заполнению первой части заявки трактуется как «Отсутствие предложения характеристики объекта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Номер заявки</w:t>
            </w:r>
          </w:p>
        </w:tc>
        <w:tc>
          <w:tcPr>
            <w:tcW w:type="dxa" w:w="2160"/>
          </w:tcPr>
          <w:p>
            <w:r>
              <w:t>Решение о соответствии заявки требованиям, установленным в извещении, или об отклонении заявки</w:t>
            </w:r>
          </w:p>
        </w:tc>
        <w:tc>
          <w:tcPr>
            <w:tcW w:type="dxa" w:w="2160"/>
          </w:tcPr>
          <w:p>
            <w:r>
              <w:t>Обоснование решения об отклонении заявки с указанием положений Закона №44-ФЗ, извещения, которым не соответствует такая заявка, положений заявки, которые не соответствуют Закону №44-ФЗ, извещению</w:t>
            </w:r>
          </w:p>
        </w:tc>
        <w:tc>
          <w:tcPr>
            <w:tcW w:type="dxa" w:w="2160"/>
          </w:tcPr>
          <w:p>
            <w:r>
              <w:t>Присвоенное первой части заявки значение по критерию оценки согласно п.3 ч.1 ст.32 Закона №44-ФЗ</w:t>
            </w:r>
          </w:p>
        </w:tc>
      </w:tr>
      <w:tr>
        <w:tc>
          <w:tcPr>
            <w:tcW w:type="dxa" w:w="2160"/>
          </w:tcPr>
          <w:p>
            <w:r>
              <w:t>73920</w:t>
            </w:r>
          </w:p>
        </w:tc>
        <w:tc>
          <w:tcPr>
            <w:tcW w:type="dxa" w:w="2160"/>
          </w:tcPr>
          <w:p>
            <w:r>
              <w:t>Соответствует</w:t>
            </w:r>
          </w:p>
        </w:tc>
        <w:tc>
          <w:tcPr>
            <w:tcW w:type="dxa" w:w="2160"/>
          </w:tcPr>
          <w:p>
            <w:r/>
          </w:p>
        </w:tc>
        <w:tc>
          <w:tcPr>
            <w:tcW w:type="dxa" w:w="2160"/>
          </w:tcPr>
          <w:p>
            <w:r>
              <w:t>0</w:t>
              <w:br/>
              <w:t>Предложение не представлено</w:t>
            </w:r>
          </w:p>
        </w:tc>
      </w:tr>
      <w:tr>
        <w:tc>
          <w:tcPr>
            <w:tcW w:type="dxa" w:w="2160"/>
          </w:tcPr>
          <w:p>
            <w:r>
              <w:t>73047</w:t>
            </w:r>
          </w:p>
        </w:tc>
        <w:tc>
          <w:tcPr>
            <w:tcW w:type="dxa" w:w="2160"/>
          </w:tcPr>
          <w:p>
            <w:r>
              <w:t>Соответствует</w:t>
            </w:r>
          </w:p>
        </w:tc>
        <w:tc>
          <w:tcPr>
            <w:tcW w:type="dxa" w:w="2160"/>
          </w:tcPr>
          <w:p>
            <w:r/>
          </w:p>
        </w:tc>
        <w:tc>
          <w:tcPr>
            <w:tcW w:type="dxa" w:w="2160"/>
          </w:tcPr>
          <w:p>
            <w:r>
              <w:t>55</w:t>
            </w:r>
          </w:p>
        </w:tc>
      </w:tr>
      <w:tr>
        <w:tc>
          <w:tcPr>
            <w:tcW w:type="dxa" w:w="2160"/>
          </w:tcPr>
          <w:p>
            <w:r>
              <w:t>73233</w:t>
            </w:r>
          </w:p>
        </w:tc>
        <w:tc>
          <w:tcPr>
            <w:tcW w:type="dxa" w:w="2160"/>
          </w:tcPr>
          <w:p>
            <w:r>
              <w:t>Соответствует</w:t>
            </w:r>
          </w:p>
        </w:tc>
        <w:tc>
          <w:tcPr>
            <w:tcW w:type="dxa" w:w="2160"/>
          </w:tcPr>
          <w:p>
            <w:r/>
          </w:p>
        </w:tc>
        <w:tc>
          <w:tcPr>
            <w:tcW w:type="dxa" w:w="2160"/>
          </w:tcPr>
          <w:p>
            <w:r>
              <w:t>55</w:t>
            </w:r>
          </w:p>
        </w:tc>
      </w:tr>
    </w:tbl>
    <w:p>
      <w:r>
        <w:t>Заявитель утверждает, что заявка с номером 73047 содержит недостоверные сведения на страницах 1, 29 и 38 предложения участника о характеристиках объекта закупки.</w:t>
      </w:r>
    </w:p>
    <w:p>
      <w:r>
        <w:t>На страницах 1 и 29 данного предложения участником закупки указано: «Отгрузка продуктов питания со склада строго по заявкам Заказчика, в соответствии со сформированными документами осуществляется грузчиками и уполномоченным лицом (кладовщиком)» и «Начальник смены полностью курирует формирование партии товара, организовывает своевременную и полную комплектацию партии (действия начальника смены контролирует начальник склада). Начальнику смены при комплектации партии товара помогают кладовщики, которые формируют партию и непосредственно руководят погрузкой товара и действиями грузчиков». Данные сведения не противоречат друг другу и отвечают установленному порядку оценки.</w:t>
      </w:r>
    </w:p>
    <w:p>
      <w:r>
        <w:t>На странице 38 предложения о характеристиках объекта закупки участником указана информация: «Замороженное сырье должно иметь температуру при доставке не выше (-181 2) [0]С».</w:t>
      </w:r>
    </w:p>
    <w:p>
      <w:r>
        <w:t>Данная формулировка не позволяет однозначным образом идентифицировать предлагаемую характеристику, что подтверждается пояснениями, представленными Уполномоченным органом и Заинтересованным лицом.</w:t>
      </w:r>
    </w:p>
    <w:p>
      <w:r>
        <w:t>При этом согласно порядку оценки «Сведения, а также информация, предоставляемые участником должны непосредственно относиться к объекту закупки, требования к описанию которого содержится в техническом задании документации, не допускать двоякого толкования, противоречий, разночтений».</w:t>
      </w:r>
    </w:p>
    <w:p>
      <w:r>
        <w:t>В данной части предложение участника закупки допускает неопределенность и двоякое толкование, что не соответствует установленному порядку оценки.</w:t>
      </w:r>
    </w:p>
    <w:p>
      <w:r>
        <w:t>Таким образом, действия комиссии Уполномоченного органа по осуществлению закупок нарушают пп. «б» п. 1 ч. 3 ст. 48 Закона о контрактной системе, следовательно, доводы жалобы являются обоснованными.</w:t>
      </w:r>
    </w:p>
    <w:p>
      <w:r>
        <w:t>Учитывая изложенное, Комиссия УФАС находит доводы Заявителя обоснованным.</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АО «Артис – Детское питание» обоснованной.</w:t>
      </w:r>
    </w:p>
    <w:p>
      <w:r>
        <w:t>2. Признать в действиях комиссии Уполномоченного органа по осуществлению закупок нарушение пп. «б» п. 1 ч. 3 ст. 48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Уполномоченного органа по осуществлению закупок.</w:t>
      </w:r>
    </w:p>
    <w:p>
      <w:r>
        <w:t>Настоящее решение может быть обжаловано в судебном порядке в течение трёх месяцев со дня принятия.</w:t>
      </w:r>
    </w:p>
    <w:p>
      <w:r>
        <w:t>10</w:t>
      </w:r>
    </w:p>
    <w:p>
      <w:pPr>
        <w:pStyle w:val="Heading1"/>
      </w:pPr>
      <w:r>
        <w:t>Предписание</w:t>
      </w:r>
    </w:p>
    <w:p>
      <w:pPr>
        <w:pStyle w:val="Heading2"/>
      </w:pPr>
      <w:r>
        <w:t>вводная часть</w:t>
      </w:r>
    </w:p>
    <w:p>
      <w:r>
        <w:t>ГБДОУ детский сад № 41 Адмиралтейского района Санкт-Петербурга</w:t>
      </w:r>
    </w:p>
    <w:p>
      <w:r>
        <w:t>пер. Макаренко, д.7, лит. А, пом. 1н,</w:t>
      </w:r>
    </w:p>
    <w:p>
      <w:r>
        <w:t>Санкт-Петербург, 190068</w:t>
      </w:r>
    </w:p>
    <w:p>
      <w:r>
        <w:t>Комитет по государственному заказу Санкт-Петербурга</w:t>
      </w:r>
    </w:p>
    <w:p>
      <w:r>
        <w:t>ул. Новгородская, д. 20, лит. А,</w:t>
      </w:r>
    </w:p>
    <w:p>
      <w:r>
        <w:t>Санкт-Петербург, 191144</w:t>
      </w:r>
    </w:p>
    <w:p>
      <w:r>
        <w:t>АО «Артис – Детское питание»</w:t>
      </w:r>
    </w:p>
    <w:p>
      <w:r>
        <w:t>пр. Культуры, д. 31, корп. 1, лит. А,</w:t>
      </w:r>
    </w:p>
    <w:p>
      <w:r>
        <w:t>Санкт-Петербург, 195276</w:t>
      </w:r>
    </w:p>
    <w:p>
      <w:r>
        <w:t>ПРЕДПИСАНИЕ</w:t>
      </w:r>
    </w:p>
    <w:p>
      <w:r>
        <w:t>по делу № 078/06/105-1416/2025</w:t>
      </w:r>
    </w:p>
    <w:p>
      <w:r>
        <w:t>о нарушении законодательства о контрактной системе</w:t>
      </w:r>
    </w:p>
    <w:p>
      <w:r>
        <w:t>21.07.2025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078/06/105-1416/2025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 41 Адмиралтейского района Санкт-Петербурга - и комиссии Уполномоченного органа (Комитета по государственному заказу Санкт-Петербурга)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«б» п. 1 ч. 3 ст. 48 Закона о контрактной системе и с этой целью:</w:t>
      </w:r>
    </w:p>
    <w:p>
      <w:r>
        <w:t>- отменить все протоколы, составленные в ходе проведения конкурса № 0172200002525000276;</w:t>
      </w:r>
    </w:p>
    <w:p>
      <w:r>
        <w:t>- повторно рассмотреть первые части заявок, поданные на участие в конкурсе № 0172200002525000276,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0172200002525000276) в соответствии с законодательством о контрактной системе.</w:t>
      </w:r>
    </w:p>
    <w:p>
      <w:r>
        <w:t>2. Заказчику и комиссии Уполномоченного органа по осуществлению закупок в срок до 21.08.2025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