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202500114959009189</w:t>
      </w:r>
    </w:p>
    <w:p>
      <w:r>
        <w:rPr>
          <w:b/>
        </w:rPr>
        <w:t xml:space="preserve">УФАС: </w:t>
      </w:r>
      <w:r>
        <w:t>УФАС по Санкт-Петербургу</w:t>
      </w:r>
    </w:p>
    <w:p>
      <w:r>
        <w:rPr>
          <w:b/>
        </w:rPr>
        <w:t xml:space="preserve">Дата решения: </w:t>
      </w:r>
      <w:r>
        <w:t>24.07.2025</w:t>
      </w:r>
    </w:p>
    <w:p>
      <w:r>
        <w:rPr>
          <w:b/>
        </w:rPr>
        <w:t xml:space="preserve">Исход: </w:t>
      </w:r>
      <w:r>
        <w:t>обоснована</w:t>
      </w:r>
    </w:p>
    <w:p>
      <w:r>
        <w:rPr>
          <w:b/>
        </w:rPr>
        <w:t xml:space="preserve">Закупка №: </w:t>
      </w:r>
      <w:r>
        <w:t>0372200263425000756</w:t>
      </w:r>
    </w:p>
    <w:p>
      <w:r>
        <w:rPr>
          <w:b/>
        </w:rPr>
        <w:t xml:space="preserve">Заказчик: </w:t>
      </w:r>
      <w:r>
        <w:t>Санкт-Петербургское государственное бюджетное учреждение здравоохранения «Городская александровская больница»</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https://zakupki.gov.ru/epz/complaint/card/complaint-information.html?complaintNumber=202500114959009189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«Городская Александровская больница»</w:t>
              <w:br/>
              <w:t>Солидарности, д. 4,</w:t>
              <w:br/>
              <w:t>Санкт-Петербург, 193312</w:t>
              <w:br/>
              <w:t>ИП Мельничкин Е.В.</w:t>
            </w:r>
          </w:p>
        </w:tc>
      </w:tr>
    </w:tbl>
    <w:p>
      <w:r>
        <w:t>РЕШЕНИЕ</w:t>
      </w:r>
    </w:p>
    <w:p>
      <w:r>
        <w:t>по делу № 078/06/105-1593/2025</w:t>
      </w:r>
    </w:p>
    <w:p>
      <w:r>
        <w:t>о нарушении законодательства о контрактной системе</w:t>
      </w:r>
    </w:p>
    <w:p>
      <w:r>
        <w:t>24.07.2025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17372/25 от 21.07.2025) на действия Заказчика при определении (подрядчика, исполнителя) путем проведения открытого конкурса в электронной форме на выполнение работ по замене лифтового оборудования (Рег. №71311) (извещение номер 0372200263425000756)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04.07.2025 в единой информационной системе, номер извещения 0372200263425000756. Начальная (максимальная) цена контракта – 3 333 738,85 рублей.</w:t>
      </w:r>
    </w:p>
    <w:p>
      <w:r>
        <w:t>В жалобе Заявитель указывает на неправомерные действия Заказчика, выразившиеся, по его мнению, в:</w:t>
      </w:r>
    </w:p>
    <w:p>
      <w:r>
        <w:t>- неправомерном установлении дополнительных требований к участникам закупки;</w:t>
      </w:r>
    </w:p>
    <w:p>
      <w:r>
        <w:t>- нарушении правил описания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Объектом закупки является выполнение работ по капитальному ремонту объекта капитального строительства.</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Пунктом 3 Постановления № 2571 установлено, в том числе, что положения настоящего постановления применяются при проведении конкурентных способов определения поставщиков (подрядчиков, исполнителей), при этом:</w:t>
      </w:r>
    </w:p>
    <w:p>
      <w:r>
        <w:t>позиция приложения к настоящему постановлению (далее - приложение) применяется с 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графы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вне зависимости от сферы осуществления деятельности заказчика;</w:t>
      </w:r>
    </w:p>
    <w:p>
      <w:r>
        <w:t>позиции 1 - 5, 16, 22 и 41 приложения применяются в случае, если при осуществлении закупки начальная (максимальная) цена контракта превышает 500 тыс. рублей;</w:t>
      </w:r>
    </w:p>
    <w:p>
      <w:r>
        <w:t>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позиции 14, 15 и 36 приложения применяются в случае, если при осуществлении закупки начальная (максимальная) цена контракта превышает 1 млн. рублей;</w:t>
      </w:r>
    </w:p>
    <w:p>
      <w:r>
        <w:t>позиция 23 приложения применяется в случае, если при осуществлении закупки начальная (максимальная) цена контракта превышает 50 млн. рублей;</w:t>
      </w:r>
    </w:p>
    <w:p>
      <w:r>
        <w:t>позиция 32 приложения применяется в случае, если при осуществлении закупки начальная (максимальная) цена контракта превышает 10 млн. рублей;</w:t>
      </w:r>
    </w:p>
    <w:p>
      <w:r>
        <w:t>позиции 24 - 31, 33 - 35 и 36(1) приложения могут не применяться в случае, если при осуществлении закупки начальная (максимальная) цена контракта не превышает 500 тыс. рублей;</w:t>
      </w:r>
    </w:p>
    <w:p>
      <w:r>
        <w:t>позиция 38 приложения применяется в случае, если при осуществлении закупки начальная (максимальная) цена контракта превышает 20 млн. рублей;</w:t>
      </w:r>
    </w:p>
    <w:p>
      <w:r>
        <w:t>позиции 39 и 40 приложения применяются в случае, если при осуществлении закупки начальная (максимальная) цена контракта превышает 100 млн. рублей.</w:t>
      </w:r>
    </w:p>
    <w:p>
      <w:r>
        <w:t>Начальная (максимальная) цена контракта составляет 3 333 738,85 рублей, следовательно, Заказчиком неправомерно установлены дополнительные требования в отношении участников закупки, что нарушает ч. 6 ст. 31 Закона о контрактной системе. Довод жалобы является обоснованным.</w:t>
      </w:r>
    </w:p>
    <w:p>
      <w:r>
        <w:t>2. 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При составлении описания объекта закупки Заказчики обязаны использовать показатели, требования, условные обозначения и терминологию, касающиеся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п. 8 ч. 1 ст. 33 Закона о контрактной системе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ч.ч. 16 и 16.1 ст. 34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п.п. 1 - 3 настоящей части, ч. 2 настоящей статьи.</w:t>
      </w:r>
    </w:p>
    <w:p>
      <w:r>
        <w:t>В случае, если проектно-сметная документация содержит указание на товарный знак, знак обслуживания, фирменное наименование, патент, полезную модель, промышленный образец, наименование места происхождения товара или наименование производителя, то заказчик в документации о закупке с целью соблюдения положений Закона о контрактной системе должен установить условие о возможности использования эквивалентного товара (аналогичная позиция отражена в письме ФАС России от 26.09.2019 № АК/84149/19).</w:t>
      </w:r>
    </w:p>
    <w:p>
      <w:r>
        <w:t>В рассматриваемом случае проектная документация содержит указания на товарный знак без сопровождения его словами «или эквивалент» (условия, предусмотренные пп. «б-г» п. 1 ч. 1 ст. 33 Закона о контрактной системе отсутствуют).</w:t>
      </w:r>
    </w:p>
    <w:p>
      <w:r>
        <w:t>При установленных обстоятельствах в действиях Заказчика усматривается нарушение п. 1 ч. 1 ст. 33 Закона о контрактной системе, довод жалобы является обоснованным.</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нарушения ч. 6 ст. 31 и п. 1 ч. 1 ст. 33 Закона о контрактной системе.</w:t>
      </w:r>
    </w:p>
    <w:p>
      <w:r>
        <w:t>3. Предписание об устранении выявленного нарушения не выдавать в связи с его выдачей в рамках ранее рассмотренной жалобы.</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ответственных лиц.</w:t>
      </w:r>
    </w:p>
    <w:p>
      <w:r>
        <w:t>Настоящее решение может быть обжаловано в судебном порядке в течение трёх месяцев со дня принятия.</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