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202500114959009857</w:t>
      </w:r>
    </w:p>
    <w:p>
      <w:r>
        <w:rPr>
          <w:b/>
        </w:rPr>
        <w:t xml:space="preserve">УФАС: </w:t>
      </w:r>
      <w:r>
        <w:t>УФАС по Санкт-Петербургу</w:t>
      </w:r>
    </w:p>
    <w:p>
      <w:r>
        <w:rPr>
          <w:b/>
        </w:rPr>
        <w:t xml:space="preserve">Дата решения: </w:t>
      </w:r>
      <w:r>
        <w:t>05.08.2025</w:t>
      </w:r>
    </w:p>
    <w:p>
      <w:r>
        <w:rPr>
          <w:b/>
        </w:rPr>
        <w:t xml:space="preserve">Исход: </w:t>
      </w:r>
      <w:r>
        <w:t>обоснована</w:t>
      </w:r>
    </w:p>
    <w:p>
      <w:r>
        <w:rPr>
          <w:b/>
        </w:rPr>
        <w:t xml:space="preserve">Закупка №: </w:t>
      </w:r>
      <w:r>
        <w:t>0172200002525000276</w:t>
      </w:r>
    </w:p>
    <w:p>
      <w:r>
        <w:rPr>
          <w:b/>
        </w:rPr>
        <w:t xml:space="preserve">Заказчик: </w:t>
      </w:r>
      <w:r>
        <w:t>Комитет по государственному заказу Санкт-Петербурга</w:t>
      </w:r>
    </w:p>
    <w:p>
      <w:r>
        <w:rPr>
          <w:b/>
        </w:rPr>
        <w:t xml:space="preserve">Заявитель: </w:t>
      </w:r>
      <w:r>
        <w:t>АО «Артис-детское питание»</w:t>
      </w:r>
    </w:p>
    <w:p>
      <w:r>
        <w:rPr>
          <w:b/>
        </w:rPr>
        <w:t xml:space="preserve">Первоисточник в ЕИС: </w:t>
      </w:r>
      <w:r>
        <w:t>https://zakupki.gov.ru/epz/complaint/card/complaint-information.html?complaintNumber=202500114959009857</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Комитет по государственному заказу Санкт-Петербурга</w:t>
              <w:br/>
              <w:t>ул. Новгородская, д. 20, лит. А,</w:t>
              <w:br/>
              <w:t>Санкт-Петербург, 191144</w:t>
              <w:br/>
              <w:t>ГБДОУ детский сад № 41 Адмиралтейского района Санкт-Петербурга</w:t>
              <w:br/>
              <w:t>пер. Макаренко, д.7, лит. А, пом. 1н,</w:t>
              <w:br/>
              <w:t>Санкт-Петербург, 190068</w:t>
              <w:br/>
              <w:t>АО «Артис – Детское питание»</w:t>
              <w:br/>
              <w:t>пр. Культуры, д. 31, корп. 1, лит. А,</w:t>
              <w:br/>
              <w:t>Санкт-Петербург, 195276</w:t>
            </w:r>
          </w:p>
        </w:tc>
      </w:tr>
    </w:tbl>
    <w:p>
      <w:r>
        <w:t>РЕШЕНИЕ</w:t>
      </w:r>
    </w:p>
    <w:p>
      <w:r>
        <w:t>по делу № 078/06/105-1762/2025</w:t>
      </w:r>
    </w:p>
    <w:p>
      <w:r>
        <w:t>о нарушении законодательства о контрактной системе</w:t>
      </w:r>
    </w:p>
    <w:p>
      <w:r>
        <w:t>06.08.2025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Комитета по государственному заказу Санкт-Петербурга (далее – Уполномоченный орган):;</w:t>
      </w:r>
    </w:p>
    <w:p>
      <w:r>
        <w:t>Администрации Адмиралтейского района:;</w:t>
      </w:r>
    </w:p>
    <w:p>
      <w:r>
        <w:t>АО «Артис – Детское питание» (далее – Заявитель):;</w:t>
      </w:r>
    </w:p>
    <w:p>
      <w:r>
        <w:t>в отсутствие представителей ГБДОУ детский сад № 41 Адмиралтейского района (далее – Заказчик), уведомленного о заседании Комиссии УФАС;</w:t>
      </w:r>
    </w:p>
    <w:p>
      <w:pPr>
        <w:pStyle w:val="Heading2"/>
      </w:pPr>
      <w:r>
        <w:t>описательная часть</w:t>
      </w:r>
    </w:p>
    <w:p>
      <w:r>
        <w:t>рассмотрев посредством системы видеоконференцсвязи жалобу Заявителя (вх. № 18310/25 от 31.07.2025) на действия комиссии Уполномоченного органа по осуществлению закупок при определении (подрядчика, исполнителя) путем проведения закупки на Обеспечение продуктами питания (поставка, хранение, перевозка до пункта назначения, погрузо-разгрузочные работы, очистка и санитарная обработка транспортных средств) для организации питания в государственных бюджетных образовательных учреждениях Адмиралтейского района Санкт-Петербурга (установлены ограничения допуска отдельных видов промышленных товаров, происходящих из иностранных государств в соответствии с Постановлением Правительства Российской Федерации от 24 декабря 2024 г. № 1875) в 2025-2026 годах (извещение № 0172200002525000276)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02.06.2025 в единой информационной системе, номер извещения 0172200002525000276. Начальная (максимальная) цена контракта – 151 228 881,43 рублей.</w:t>
      </w:r>
    </w:p>
    <w:p>
      <w:r>
        <w:t>В жалобе Заявитель указал на неправомерные действия комиссии Уполномоченного органа, выразившиеся, по мнению Заявителя, в неправомерном признании его заявки несоответствующей требованиям извещения об осуществлении закупки по результатам рассмотрения.</w:t>
      </w:r>
    </w:p>
    <w:p>
      <w:r>
        <w:t>Согласно представленным в порядке ч. 1 ст. 106 Закона о контрактной системе возражениям Уполномоченный орган с доводами жалобы не согласен и считает ее необоснованной.</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По смыслу ч.ч. 1, 2 и 4 ст. 24 Закона о контрактной системе открытый конкурс в электронной форме является конкурентным способом определения поставщиков (подрядчиков, исполнителей), победителем которого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
        <w:t>Электронный конкурс начинается с размещения в единой информационной системе извещения об осуществлении закупки (ч. 1 ст. 48 Закона о контрактной системе).</w:t>
      </w:r>
    </w:p>
    <w:p>
      <w:r>
        <w:t>Согласно ч. 3 ст. 48 Закона о контрактной системе Не позднее двух рабочих дней (за исключением случая, предусмотренного частью 4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w:t>
      </w:r>
    </w:p>
    <w:p>
      <w:r>
        <w:t>1) члены комиссии по осуществлению закупок:</w:t>
      </w:r>
    </w:p>
    <w:p>
      <w:r>
        <w:t>а) рассматривают первые части заявок на участие в закупке, направленные оператором электронной площадки, и принимают решение о признании первой части заявки на участие в закупке соответствующей извещению об осуществлении закупки или об отклонении заявки на участие в закупке;</w:t>
      </w:r>
    </w:p>
    <w:p>
      <w:r>
        <w:t>б)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пунктами 2 и 3 части 1 статьи 32 настоящего Федерального закона (если такие критерии установлены извещением об осуществлении закупки);</w:t>
      </w:r>
    </w:p>
    <w:p>
      <w:r>
        <w:t>2) заказчик формирует с использованием электронной площадки протокол рассмотрения и оценки первых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Пунктами 1-3 ч. 5 ст. 48 Закона о контрактной системе 5. При рассмотрении первых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 Федеральным законом) информации и документов, предусмотренных подпунктами "а", "б", "г" и "д" пункта 2 части 1 статьи 43 настоящего Федерального закона, несоответствия таких информации и документов извещению об осуществлении закупки;</w:t>
      </w:r>
    </w:p>
    <w:p>
      <w:r>
        <w:t>2) если в первой части заявки на участие в закупке содержится информация, предусмотренная пунктами 1, 3 и 4 части 1 статьи 43 настоящего Федерального закона;</w:t>
      </w:r>
    </w:p>
    <w:p>
      <w:r>
        <w:t>3) выявления недостоверной информации, содержащейся в первой части заявки на участие в закупке.</w:t>
      </w:r>
    </w:p>
    <w:p>
      <w:r>
        <w:t>В соответствии с ч. 6 ст. 48 Закона о контрактной системе протокол рассмотрения и оценки первых частей заявок на участие в закупке должен содержать:</w:t>
      </w:r>
    </w:p>
    <w:p>
      <w:r>
        <w:t>1) дату рассмотрения и оценки первых частей заявок на участие в закупке, идентификационные номера таких заявок;</w:t>
      </w:r>
    </w:p>
    <w:p>
      <w:r>
        <w:t>2) информацию о принятом решении о признании первой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
        <w:t>3) присвоенные первым частям заявок на участие в закупке, признанным соответствующими извещению об осуществлении закупки, значения по каждому критерию оценки первых частей заявок на участие в закупке (в случае установления таких критериев в извещении об осуществлении закупки);</w:t>
      </w:r>
    </w:p>
    <w:p>
      <w:r>
        <w:t>4)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t>5) информацию о признании определения поставщика (подрядчика, исполнителя) несостоявшимся в случаях, предусмотренных пунктами 2 и 4 части 1 статьи 52 настоящего Федерального закона.</w:t>
      </w:r>
    </w:p>
    <w:p>
      <w:r>
        <w:t>Как установлено ч. 5.1 ст. 106 Закона о контрактной системе представление информации и документов, предусмотренных ч. 5 настоящей статьи, не требуется в случае их размещения в соответствии с настоящим Федеральным законом на официальном сайте. При этом, если информация и документы, предусмотренные ч. 5 настоящей статьи и размещенные на официальном сайте, не соответствуют информации и документам, составленным в ходе определения поставщика (подрядчика, исполнителя) или аккредитации участника закупки на электронной площадке, специализированной электронной площадке, приоритет имеют информация и документы, размещенные на официальном сайте.</w:t>
      </w:r>
    </w:p>
    <w:p>
      <w:r>
        <w:t>В соответствии с протоколом рассмотрения и оценки первых частей заявок на участие в открытом конкурсе в электронной форме от 28.07.2025 №ПРОI2 заявка Заявителя (Номер заявки 73233) отклонена по следующим основаниям:</w:t>
      </w:r>
    </w:p>
    <w:p>
      <w:r>
        <w:t>«Несоответствие по первым частям заявок извещению информации и документов: характеристик товара – пп. «а», наименования страны происхождения товара – п. «б», пп. «г», иных информации и документов – пп «д» п. 2 ч. 1 ст. 43 Закона №44-ФЗ. Отклонение по п.1 ч.5 ст. 48 Закона №44-ФЗ.</w:t>
      </w:r>
    </w:p>
    <w:p>
      <w:r>
        <w:t>Основание отклонения заявки: п.1 ч.5 ст. 48 Закона № 44-ФЗ по причине несоответствия информации и документов, предусмотренных п.п. «г» п.2 ч.1 ст.48 Закона № 44-ФЗ извещению об осуществлении закупки.</w:t>
      </w:r>
    </w:p>
    <w:p>
      <w:r>
        <w:t>Обоснование принятого решения: участником закупки представлено предложение, противоречащее требованиям описания объекта закупки (приложение № 1 к извещению), а именно:</w:t>
      </w:r>
    </w:p>
    <w:p>
      <w:r>
        <w:t>Участником закупки указано, что хранение в охлажденном состояние молочных продуктов осуществляется при температуре -1 …+1 °C (п.8 стр. 83 предложения участника), в свою очередь п.8.2 раздела 8 Транспортирование и хранение ГОСТ 31453-2013. Межгосударственный стандарт. Творог. Технические условия установлено, что продукт хранят при температуре (4 +/- 2) °C».</w:t>
      </w:r>
    </w:p>
    <w:p>
      <w:r>
        <w:t>В силу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В силу ч.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соответствии с ч. 4 ст. 32 Закона о контрактной системе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
        <w:t>Согласно ч. 8 ст. 32 Закона о контрактной системе порядок оценки заявок участников закупки, в том числе предельные величины значимости каждого критерия, устанавливаются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Согласно п. 1 Постановления № 2604 утверждено Положение об оценке заявок на участие в закупке товаров, работ, услуг для обеспечения государственных и муниципальных нужд.</w:t>
      </w:r>
    </w:p>
    <w:p>
      <w:r>
        <w:t>В соответствии с п. 2 Положения «оценка заявок» -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силу п.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Согласно п. 8 Положения в случае применения показателей оценки по критериям оценки, предусмотренным пп. «в» и «г» п.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 соответствии с п. 16 Положения об оценке заявок для оценки заявок для оценки заявок по критерию оценки «характеристики объекта закупки» могут применяться, если иное не предусмотрено Положением об оценки заявок, один или несколько из следующих показателей оценки:</w:t>
      </w:r>
    </w:p>
    <w:p>
      <w:r>
        <w:t>а) качественные характеристики объекта закупки;</w:t>
      </w:r>
    </w:p>
    <w:p>
      <w:r>
        <w:t>б) функциональные характеристики объекта закупки;</w:t>
      </w:r>
    </w:p>
    <w:p>
      <w:r>
        <w:t>в) экологические характеристики объекта закупки.</w:t>
      </w:r>
    </w:p>
    <w:p>
      <w:r>
        <w:t>В силу п. 19 Положения если характеристика, предусмотренная детализирующим показателем, не определяется количественным значением, документом, предусмотренным приложением № 1 к настоящему Положению, устанавливается перечень свойств объекта закупки, подлежащих оценке.</w:t>
      </w:r>
    </w:p>
    <w:p>
      <w:r>
        <w:t>В соответствии с п. 22 Положения в случае отсутствия функциональной зависимости между значением характеристики объекта закупки, определенной количественным значением, и значением количества присваиваемых баллов, а также в случае, если характеристика не определяется количественным значением, значение количества баллов по детализирующему показателю присваивается заявке, подлежащей в соответствии с Федеральным законом оценке по критерию оценки «характеристики объекта закупки», по шкале оценки. При этом документом, предусмотренным приложением № 1 к настоящему Положению, устанавливаются значения количества баллов, присваиваемые за предлагаемое (предлагаемые) участником закупки количественное значение (значения) характеристики объекта закупки или предлагаемое участником закупки свойство (свойства) объекта закупки.</w:t>
      </w:r>
    </w:p>
    <w:p>
      <w:r>
        <w:t>В силу п. 23 Положения если в случае, указанном в п. 22 настоящего Положения, предусматривается оценка наличия или отсутствия характеристики объекта закупки, шкала оценки должна предусматривать присвоение:</w:t>
      </w:r>
    </w:p>
    <w:p>
      <w:r>
        <w:t>а) 100 баллов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p>
    <w:p>
      <w:r>
        <w:t>б) 100 баллов заявке (части заявки), содержащей предложение об отсутствии характеристики объекта закупки, а при наличии характеристики – 0 баллов (если лучшим является отсутствие характеристики объекта закупки).</w:t>
      </w:r>
    </w:p>
    <w:p>
      <w:r>
        <w:t>Извещение об осуществлении закупки содержит следующие положения:</w:t>
      </w:r>
    </w:p>
    <w:p>
      <w:r>
        <w:t>«Значение количества баллов по характеристике № 1 (Качество товаров (работ, услуг)) показателя «качественные характеристики объекта закупки» присваивается заявке, подлежащей в соответствии с Законом о контрактной системе оценке по критерию оценки «Качественные, функциональные и экологические характеристики объекта закупки», по шкале оценки:</w:t>
      </w:r>
    </w:p>
    <w:tbl>
      <w:tblPr>
        <w:tblStyle w:val="TableGrid"/>
        <w:tblW w:type="auto" w:w="0"/>
        <w:tblLook w:firstColumn="1" w:firstRow="1" w:lastColumn="0" w:lastRow="0" w:noHBand="0" w:noVBand="1" w:val="04A0"/>
      </w:tblPr>
      <w:tblGrid>
        <w:gridCol w:w="4320"/>
        <w:gridCol w:w="4320"/>
      </w:tblGrid>
      <w:tr>
        <w:tc>
          <w:tcPr>
            <w:tcW w:type="dxa" w:w="4320"/>
          </w:tcPr>
          <w:p>
            <w:r>
              <w:t>Значение показателя</w:t>
            </w:r>
          </w:p>
        </w:tc>
        <w:tc>
          <w:tcPr>
            <w:tcW w:type="dxa" w:w="4320"/>
          </w:tcPr>
          <w:p>
            <w:r>
              <w:t>Шкала оценки (баллы)</w:t>
            </w:r>
          </w:p>
        </w:tc>
      </w:tr>
      <w:tr>
        <w:tc>
          <w:tcPr>
            <w:tcW w:type="dxa" w:w="4320"/>
          </w:tcPr>
          <w:p>
            <w:r>
              <w:t>Отсутствие предложения характеристики объекта закупки</w:t>
            </w:r>
          </w:p>
        </w:tc>
        <w:tc>
          <w:tcPr>
            <w:tcW w:type="dxa" w:w="4320"/>
          </w:tcPr>
          <w:p>
            <w:r>
              <w:t>0</w:t>
            </w:r>
          </w:p>
        </w:tc>
      </w:tr>
      <w:tr>
        <w:tc>
          <w:tcPr>
            <w:tcW w:type="dxa" w:w="4320"/>
          </w:tcPr>
          <w:p>
            <w:r>
              <w:t>Предложение о наличии характеристики объекта закупки</w:t>
            </w:r>
          </w:p>
        </w:tc>
        <w:tc>
          <w:tcPr>
            <w:tcW w:type="dxa" w:w="4320"/>
          </w:tcPr>
          <w:p>
            <w:r>
              <w:t>100</w:t>
            </w:r>
          </w:p>
        </w:tc>
      </w:tr>
    </w:tbl>
    <w:p>
      <w:r>
        <w:t>Все предоставляемые в составе заявки участника сведения, а также документы должны быть достоверными, представлены в объеме, предусмотренном настоящей документацией и не противоречить описанию объекта закупки и проекту контракта. Ответственность за полноту и достоверность указанных сведений несет участник. В случае предоставления сведений, несоответствующих требованиям техническому заданию документации, проекту контракта, такая заявка будет оцениваться комиссией, как “несоответствие предоставленной участником информации требованиям документации”. Отсутствие предложения по критерию «Качественные, функциональные и экологические характеристики объекта закупки» не является основанием для принятия решения об отказе участнику закупки в допуске к участию.</w:t>
      </w:r>
    </w:p>
    <w:p>
      <w:r>
        <w:t>Настоящий порядок устанавливает общие требования к описанию и содержанию предложения участника о качественных характеристиках объекта закупки и установлен документацией в целях выявления лучшего условия исполнения контракта среди участников закупки. Настоящий порядок оценки содержит: предмет оценки, позволяющий определить исчерпывающий перечень сведений, подлежащих оценке комиссией заказчика по осуществлению закупок и соответственно подлежащих представлению участниками закупки в своих заявках для получения оценки по критерию «Качественные, функциональные и экологические характеристики объекта закупки»; инструкцию по заполнению заявки, позволяющую определить, какие именно сведения подлежат описанию и представлению участниками закупки для оценки комиссией заказчика по осуществлению закупок; зависимость (шкала оценки) между количеством присваиваемых баллов и представляемыми сведениями.</w:t>
      </w:r>
    </w:p>
    <w:p>
      <w:r>
        <w:t>Сведения, а также информация, предоставляемые участником должны непосредственно относиться к объекту закупки, требования к описанию которого содержится в техническом задании документации, не допускать двоякого толкования, противоречий, разночтений. В рамках оценки критерия «Качественные, функциональные и экологические характеристики объекта закупки» комиссия рассматривает наличие в предложении участника закупки следующих свойств: подготовка к оказанию услуг; контроль качества; входной контроль сырья и материалов; надлежащая технология оказания услуг.</w:t>
      </w:r>
    </w:p>
    <w:p>
      <w:r>
        <w:t>В рамках свойства объекта “Контроль качества” как соответствующего требованиям документации в заявке участника по данному свойству необходимо предоставить следующую информацию: методы контроля качества продуктов питания, поставляемых по адресу заказчика; о перечне мероприятий по осуществлению визуального контроля, периодичности контроля на предприятии (с указанием объекта контроля, наименования определяемых показателей, контрольных точек, периодичности, нормативных документов на методы исследований, должностных лиц или испытательных лабораторий, осуществляющих производственный контроль); о перечне лабораторно-инструментальных исследований (с указанием объекта исследования, определяемых показателей, периодичности, нормативных документов, должностных лиц или испытательных лабораторий, осуществляющих производственный контроль); перечень должностей, подлежащих медицинским осмотрам, гигиенической подготовке; периодичность проведения медицинских осмотров, с указанием видов медицинских осмотров и их периодичности; информация об осуществлении дезинфекционных, дезинсекционных и дератизационных мероприятий; методы организационного контроля во время исполнения контракта; разработанная и используемая в процессе оказания услуг методика определения показателей поставляемых товаров, включающей в себя критерии, применяемые для определения качественных показателей товаров, критерии подбора качественных показателей товаров, порядок и сроки согласования, сроки и порядок утверждения по каждому из критериев, а так же описание порядка согласования критериев, применяемых для определения качественных показателей товаров, критерии проверки товаров на готовность к их транспортировке, с описанием порядка определения каждого критерия проверки поставляемого товара; применяемые в организации способы и методы определения и фиксации качества поставляемых товаров, выраженного в контроле необходимых вкусовых показателей товаров, а так же соответствующее описание по способам и методам; а так же используемых в организации различных видов тары для хранения поставляемых товаров, подлежащих контролю целостности, с описанием процесса контроля целостности тары, периодичности контроля за потерями герметичности упаковки, периодичности контроля за потерями целостности тары, включающей в себя минимальные и максимальные сроки и периоды проведения определения целостности тары, описанием процесса контроля целостности упаковки, периодичности контроля за потерями целостности упаковки, включающей в себя минимальные сроки, время проведения определения целостности упаковки о мерах, принимаемых для снижения вероятности перекрестного загрязнения; перечень мероприятий по контролю с указанием по каждому нормативных документов, лиц ответственных за проведение мероприятий и периодичности проведения мероприятий.</w:t>
      </w:r>
    </w:p>
    <w:p>
      <w:r>
        <w:t>В рамках свойства объекта “Подготовка к оказанию услуг” как соответствующего требованиям документации в заявке участника по данному свойству необходимо предоставить следующую информацию: должна включать в себя имеющуюся и используемую Участником программу подготовки организации к оказанию услуг, содержащую область применения программы, общие положения программы, включая вводную, основную и заключительную часть, схемы построения процессов подготовки к оказанию услуг на этапах оказания услуг, правила оказания услуг, сроки подготовки организации и порядок их распределения при оказании услуг, сроки и порядок контроля подготовки организации и порядок распределения контроля при оказании услуг, ответственность организации при подготовке к оказанию услуг, изменения и смена процесса подготовки к оказанию услуг, обеспеченность средствами подготовки к оказанию услуг, обеспеченность организационно-методической информацией и документами, организация уведомлений, согласование программы подготовки, контроль и настройка экономических показателей, контроль и настройка организационно-технических показателей, порядок исполнения поручений, контроль поставленных плановых задач, контроль средств подготовки, решения по уменьшению или увеличению подготовки к оказанию услуг, поддержание уровня подготовки для этапов оказания услуг, замена и корректировка состава отдельных частей программы, замена и корректировка программы, перечень программы, цели и задачи программы, ответственность за ошибки и нарушения программы, возможности программы, начало и завершение применения программы, мониторинг возникающих сложностей при применении программы, подготовка средств, используемых при оказании услуг, с указанием перечня таких средств, мониторинг возникающих ошибок и нарушений в процессе применения программы, фиксация и передача ошибок и нарушений программы, порядок распределения методов подготовки при оказании услуг, обработка замечаний представителя Заказчика по программе, отправка и получение ответов на запросы сведений по программе.</w:t>
      </w:r>
    </w:p>
    <w:p>
      <w:r>
        <w:t>В рамках свойства “Надлежащая технология оказания услуг” как соответствующего требованиям документации в заявке участника по данному свойству необходимо предоставить следующую информацию: совокупность методов для достижения желаемого результата в рамках исполнения контракта, на право заключения которого проводится настоящий конкурс, включая последовательность действий по контракту; информацию о системе модернизации процессов, в том числе о целях организации в рамках модернизации процессов, о программе модернизации процессов, о реализации модернизации; имеющуюся и используемую систему определения оптимальных условий при оказании услуг, содержащие в себя условий эффективного использования средств перевозки, погрузки и разгрузки грузов, средств проверки грузов, средств контроля за состоянием грузов при оказании услуг.</w:t>
      </w:r>
    </w:p>
    <w:p>
      <w:r>
        <w:t>В рамках свойства объекта “Входной контроль сырья и материалов” как соответствующего требованиям документации в заявке участника по данному свойству необходимо предоставить следующую информацию: об этапах проведения входного контроля с раскрытием информации о мероприятиях по входному контролю на каждом этапе; о сопроводительных документах, при осуществлении поставки товара; об ответственных лицах за проведение входного контроля, за недопущение попадания несоответствующих сырья и материалов на участок производства продукции; условия транспортировки продуктов питания, являющихся объектом закупки согласно описанию объекта закупки; условия хранения продуктов питания, являющихся объектом закупки согласно описанию объекта закупки; о целях и задачах осуществления входного контроля и области распространения; о минимальном остаточном сроке годности продукции по каждому товару при хранении, транспортировке; о нормативных документах, в соответствии с которыми осуществляется входной контроль; о перечне ситуаций, создающих угрозу санитарно-эпидемиологическому благополучию, с указанием мер профилактики; условия разгрузки по адресу заказчика продуктов питания, являющихся объектом закупки согласно описанию объекта закупки; об ответственных лица за оформление рекламаций поставщикам и возврат несоответствующего сырья и материалов.</w:t>
      </w:r>
    </w:p>
    <w:p>
      <w:r>
        <w:t>Представление предложения участника закупки о наличии характеристики объекта закупки, содержащее описание по каждому свойству объекта закупки в соответствии со всеми требованиями, установленными в настоящем порядке оценки и в инструкции по заполнению заявки, будет являться предоставлением «Предложение о наличии характеристики объекта закупки» необходимым и достаточным при оценке заявок.</w:t>
      </w:r>
    </w:p>
    <w:p>
      <w:r>
        <w:t>В рамках сведений по критерию «Качественные, функциональные и экологические характеристики объекта закупки» соответствующие сведения считаются представленными, если такие сведения отвечают всем соответствующим требованиям, установленным в настоящем порядке оценки и инструкции по заполнению первой части заявки, вне зависимости от степени детализации таких сведений.</w:t>
      </w:r>
    </w:p>
    <w:p>
      <w:r>
        <w:t>Описание свойств объекта закупки должно быть конкретным, однозначным и не должно допускать двусмысленных толкований. Непредставление описания свойств объекта закупки или предоставление описания свойств объекта закупки, несоответствующего требованиям настоящего пункта Порядка рассмотрения и оценки заявок на участие в конкурсе и/или требованиям инструкции по заполнению первой части заявки трактуется как «Отсутствие предложения характеристики объекта закупки».</w:t>
      </w:r>
    </w:p>
    <w:p>
      <w:r>
        <w:t>В соответствии с пп. г) п. 2 ч. 1 ст. 43 Закона о контрактной системе для участия в конкурентном способе заявка на участие в закупке, если иное не предусмотрено Законом о контрактной системе, должна содержать предложение участника закупки в отношении объекта закупки с учетом положений ч. 2 ст. 43 Закона о контрактной системе предложение по критериям, предусмотренным п. 2 и (или) 3 ч. 1 ст. 32 Закона о контрактной системе (в случае проведения конкурсов и установления таких критериев).</w:t>
      </w:r>
    </w:p>
    <w:p>
      <w:r>
        <w:t>В составе заявки Заявителя представлено предложение участника закупки о качественных характеристиках объекта закупки, содержащее описание свойства объекта закупки, в частности, в предложении участника закупки указано, что условия хранения в полной мере соответствуют Техническому заданию, конкурсной документации.</w:t>
      </w:r>
    </w:p>
    <w:p>
      <w:r>
        <w:t>Извещение содержит указание о соответствии поставке товарной позиции «Творог» ГОСТ 31453-2013 «Межгосударственный стандарт. Творог».</w:t>
      </w:r>
    </w:p>
    <w:p>
      <w:r>
        <w:t>Согласно п.8.2 раздела 8 Транспортирование и хранение ГОСТ 31453-2013. Межгосударственный стандарт. Творог. Технические условия установлено, что продукт хранят при температуре (4 +/- 2) °C</w:t>
      </w:r>
    </w:p>
    <w:p>
      <w:r>
        <w:t>При этом, в п.8 стр. 83 предложения Заявителя также указано: «хранение в охлажденном состояние молочных продуктов осуществляется при температуре -1 …+1 °C».</w:t>
      </w:r>
    </w:p>
    <w:p>
      <w:r>
        <w:t>Таким образом в заявке участника указано о соответствии техническому заданию, но при этом приведены условия хранения, противоречащие действующему ГОСТ 31453-2013.</w:t>
      </w:r>
    </w:p>
    <w:p>
      <w:r>
        <w:t>При этом согласно порядку оценки «Сведения, а также информация, предоставляемые участником должны непосредственно относиться к объекту закупки, требования к описанию которого содержится в техническом задании документации, не допускать двоякого толкования, противоречий, разночтений».</w:t>
      </w:r>
    </w:p>
    <w:p>
      <w:r>
        <w:t>Кроме того, согласно установленному порядку оценки:</w:t>
      </w:r>
    </w:p>
    <w:p>
      <w:r>
        <w:t>«Описание свойств объекта закупки должно быть конкретным, однозначным и не должно допускать двусмысленных толкований. Непредставление описания свойств объекта закупки или предоставление описания свойств объекта закупки, несоответствующего требованиям настоящего пункта Порядка рассмотрения и оценки заявок на участие в конкурсе и/или требованиям инструкции по заполнению первой части заявки трактуется как «Отсутствие предложения характеристики объекта закупки».</w:t>
      </w:r>
    </w:p>
    <w:p>
      <w:r>
        <w:t>Комиссия УФАС констатирует, что отсутствие предложения характеристики объекта закупки согласно установленной шкале подлежит оценке в 0 баллов.</w:t>
      </w:r>
    </w:p>
    <w:p>
      <w:r>
        <w:t>Таким образом, действия комиссии Уполномоченного органа по осуществлению закупок нарушают пп. «а» п. 1 ч. 3 ст. 48 Закона о контрактной системе.</w:t>
      </w:r>
    </w:p>
    <w:p>
      <w:r>
        <w:t>Учитывая изложенное, Комиссия УФАС находит доводы Заявителя обоснованным.</w:t>
      </w:r>
    </w:p>
    <w:p>
      <w:pPr>
        <w:pStyle w:val="Heading2"/>
      </w:pPr>
      <w:r>
        <w:t>мотивировочная часть</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АО «Артис – Детское питание» обоснованной.</w:t>
      </w:r>
    </w:p>
    <w:p>
      <w:r>
        <w:t>2. Признать в действиях комиссии Уполномоченного органа по осуществлению закупок нарушение пп. «а» п. 1 ч. 3 ст. 48 Закона о контрактной системе</w:t>
      </w:r>
    </w:p>
    <w:p>
      <w:r>
        <w:t>3. Выдать Заказчику, комиссии Уполномоченного органа по осуществлению закупок и оператору электронной площадки обязательное для исполнения предписание об устранении выявленного нарушения.</w:t>
      </w:r>
    </w:p>
    <w:p>
      <w:r>
        <w:t>4. Передать материалы дела уполномоченному должностному лицу для рассмотрения вопроса о возбуждении дел об административном правонарушении в отношении членов комиссии Уполномоченного органа по осуществлению закупок.</w:t>
      </w:r>
    </w:p>
    <w:p>
      <w:r>
        <w:t>Настоящее решение может быть обжаловано в судебном порядке в течение трёх месяцев со дня принятия.</w:t>
      </w:r>
    </w:p>
    <w:p>
      <w:r>
        <w:t>4</w:t>
      </w:r>
    </w:p>
    <w:p>
      <w:pPr>
        <w:pStyle w:val="Heading1"/>
      </w:pPr>
      <w:r>
        <w:t>Предписание</w:t>
      </w:r>
    </w:p>
    <w:p>
      <w:pPr>
        <w:pStyle w:val="Heading2"/>
      </w:pPr>
      <w:r>
        <w:t>вводная часть</w:t>
      </w:r>
    </w:p>
    <w:p>
      <w:r>
        <w:t>ГБДОУ детский сад № 41 Адмиралтейского района Санкт-Петербурга</w:t>
      </w:r>
    </w:p>
    <w:p>
      <w:r>
        <w:t>пер. Макаренко, д.7, лит. А, пом. 1н,</w:t>
      </w:r>
    </w:p>
    <w:p>
      <w:r>
        <w:t>Санкт-Петербург, 190068</w:t>
      </w:r>
    </w:p>
    <w:p>
      <w:r>
        <w:t>Комитет по государственному заказу Санкт-Петербурга</w:t>
      </w:r>
    </w:p>
    <w:p>
      <w:r>
        <w:t>ул. Новгородская, д. 20, лит. А,</w:t>
      </w:r>
    </w:p>
    <w:p>
      <w:r>
        <w:t>Санкт-Петербург, 191144</w:t>
      </w:r>
    </w:p>
    <w:p>
      <w:r>
        <w:t>АО «Артис – Детское питание»</w:t>
      </w:r>
    </w:p>
    <w:p>
      <w:r>
        <w:t>пр. Культуры, д. 31, корп. 1, лит. А,</w:t>
      </w:r>
    </w:p>
    <w:p>
      <w:r>
        <w:t>Санкт-Петербург, 195276</w:t>
      </w:r>
    </w:p>
    <w:p>
      <w:r>
        <w:t>ПРЕДПИСАНИЕ</w:t>
      </w:r>
    </w:p>
    <w:p>
      <w:r>
        <w:t>по делу № 078/06/105-1416/2025</w:t>
      </w:r>
    </w:p>
    <w:p>
      <w:r>
        <w:t>о нарушении законодательства о контрактной системе</w:t>
      </w:r>
    </w:p>
    <w:p>
      <w:r>
        <w:t>06.08.2025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078/06/105-1416/2025 о нарушении законодательства о закупках, руководствуясь ст.ст.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ГБДОУ детский сад № 41 Адмиралтейского района Санкт-Петербурга - и комиссии Уполномоченного органа (Комитета по государственному заказу Санкт-Петербурга) по осуществлению закупок в 7-дневный срок с момента публикации настоящего предписания на официальном сайте единой информационной системы устранить нарушение пп. «а» п. 1 ч. 3 ст. 48 Закона о контрактной системе и с этой целью:</w:t>
      </w:r>
    </w:p>
    <w:p>
      <w:r>
        <w:t>- отменить все протоколы, составленные в ходе проведения конкурса № 0172200002525000276;</w:t>
      </w:r>
    </w:p>
    <w:p>
      <w:r>
        <w:t>- повторно рассмотреть первые части заявок, поданные на участие в конкурсе № 0172200002525000276, с учетом мотивировочной части решения, указанного в преамбуле настоящего предписания;</w:t>
      </w:r>
    </w:p>
    <w:p>
      <w:r>
        <w:t>- провести процедуры определения поставщика (подрядчика, исполнителя) (извещение № 0172200002525000276) в соответствии с законодательством о контрактной системе.</w:t>
      </w:r>
    </w:p>
    <w:p>
      <w:r>
        <w:t>2. Заказчику и комиссии Уполномоченного органа по осуществлению закупок в срок до 06.09.2025 представить в Управление Федеральной антимонопольной службы по Санкт-Петербургу документальные доказательства исполнения пункта 1 данного предписания на электронную почту: to78@fas.gov.ru.</w:t>
      </w:r>
    </w:p>
    <w:p>
      <w:r>
        <w:t>3. Оператору электронной площадки:</w:t>
      </w:r>
    </w:p>
    <w:p>
      <w:r>
        <w:t>- обеспечить Заказчику, комиссии Уполномоченного органа по осуществлению закупок техническую возможность для исполнения п.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