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202500114959010178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08.08.2025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0372200100925000139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учреждение здравоохранения «Городская поликлиника № 4»</w:t>
      </w:r>
    </w:p>
    <w:p>
      <w:r>
        <w:rPr>
          <w:b/>
        </w:rPr>
        <w:t xml:space="preserve">Заявитель: </w:t>
      </w:r>
      <w:r>
        <w:t>ООО «Торговый дом »Политон-тех""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https://zakupki.gov.ru/epz/complaint/card/complaint-information.html?complaintNumber=202500114959010178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САНКТ-ПЕТЕРБУРГСКОЕ ГОСУДАРСТВЕННОЕ БЮДЖЕТНОЕ УЧРЕЖДЕНИЕ ЗДРАВООХРАНЕНИЯ "ГОРОДСКАЯ ПОЛИКЛИНИКА № 4"</w:t>
              <w:br/>
              <w:t>Российская Федерация, 199178, Санкт-Петербург, Большой В.О., Д.59 ЛИТЕР А</w:t>
              <w:br/>
              <w:t>ООО "ТОРГОВЫЙ ДОМ "ПОЛИТОН-ТЕХ""</w:t>
              <w:br/>
              <w:t>115093, Г.МОСКВА, вн.тер.г. МУНИЦИПАЛЬНЫЙ ОКРУГ ЗАМОСКВОРЕЧЬЕ, УЛ ПАВЛА АНДРЕЕВА, Д. 4, ПОМЕЩ. 3/1</w:t>
            </w:r>
          </w:p>
        </w:tc>
      </w:tr>
    </w:tbl>
    <w:p>
      <w:r>
        <w:t>РЕШЕНИЕ</w:t>
      </w:r>
    </w:p>
    <w:p>
      <w:r>
        <w:t>по делу № 078/06/105-1856/2025 о нарушении законодательства о контрактной системе</w:t>
      </w:r>
    </w:p>
    <w:p>
      <w:r>
        <w:t>08.08.2025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СПБ ГБУЗ «Городская поликлиника № 4» (далее – Заказчик):;</w:t>
      </w:r>
    </w:p>
    <w:p>
      <w:r>
        <w:t>ООО «ТД Политон-Тех» (далее – Заявитель):;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18679/25 от 05.08.2025) на действия СПБ ГБУЗ «Городская поликлиника № 4» (Заказчик) при определении (подрядчика, исполнителя) путем проведения электронного аукциона на поставку расходных материалов для печатающих устройств для нужд СПб ГБУЗ «Городская поликлиника №4» в 2025г. (извещение № 0372200100925000139) (далее – аукцион),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аукциона размещено 31.07.2025 на Официальном сайте Единой информационной системы в сфере закупок www.zakupki.gov.ru, номер извещения 0372200100925000139. Начальная (максимальная) цена контракта – 998 580, 00 рублей.</w:t>
      </w:r>
    </w:p>
    <w:p>
      <w:r>
        <w:t>Заявитель в жалобе ссылается на то, что Заказчиком неправомерно установлено требование о поставке исключительно оригинальных картриджей, что, по мнению Заявителя, противоречит требованиям Закона о контрактной системе.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Информация, изложенная в жалобе, представленные документы подтверждают следующие обстоятельства.</w:t>
      </w:r>
    </w:p>
    <w:p>
      <w:r>
        <w:t>Комиссия УФАС, оценивая доводы сторон, исходит из того, что в силу п. 1-п. 2 ч. 1 ст. 33 Закона о контрактной системе, заказчик в случаях, предусмотренных настоящим Федеральным законом, при описании объекта закупки должен руководствоваться следующими правилами:</w:t>
      </w:r>
    </w:p>
    <w:p>
      <w:r>
        <w:t>1)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"или эквивалент";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Федерации;</w:t>
      </w:r>
    </w:p>
    <w:p>
      <w:r>
        <w:t>2) использование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Частью 2 ст. 33 Закона о контрактной системе установлено, что документация о закупке в соответствии с требованиями, указанными в ч. 1 настоящей статьи, должна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показателей, а также значения показателей, которые не могут изменяться.</w:t>
      </w:r>
    </w:p>
    <w:p>
      <w:r>
        <w:t>Таким образом, по смыслу ст. 33 Закона о контрактной системе, при формировании Технического задания Заказчику в рамках Закона о контрактной системе предоставлены полномочия по самостоятельному определению размера лота, а также спецификации и параметров и характеристик товара, в наибольшей степени удовлетворяющих его потребности. Однако из буквального толкования вышеприведенных положений Закона о контрактной системе следует, что заказчики, осуществляющие закупку по правилам данного Закона, при описании объекта закупки должны таким образом прописать требования к закупаемым товарам, работам, услугам, чтобы, с одной стороны, повысить шансы на приобретение услуги именно с такими характеристиками, которые ему необходимы с другой стороны описание объекта закупки не должно необоснованно ограничивать количество участников закупки.</w:t>
      </w:r>
    </w:p>
    <w:p>
      <w:r>
        <w:t>В соответствии с ч. 2 ст. 19 Закона о контрактной системе, под требованиями к закупаемым заказчиком товарам, работам, услугам понимаются требования к количеству, потребительским свойствам (в том числе характеристикам качества) и иным характеристикам товаров, работ, услуг, позволяющие обеспечить государственные и муниципальные нужды, но не приводящие к закупкам товаров, работ, услуг, которые имеют избыточные потребительские свойства или являются предметами роскоши в соответствии с законодательством Российской Федерации.</w:t>
      </w:r>
    </w:p>
    <w:p>
      <w:r>
        <w:t>В силу ч. 3 ст. 33 Закона о контрактной системе, не допускается включение в описание объекта закупки (в том числе в форме требований к качеству, техническим характеристикам товара, работы или услуги, требований к функциональным характеристикам (потребительским свойствам) товара) требований к производителю товара, к участнику закупки (в том числе требования к квалификации участника закупки, включая наличие опыта работы), а также требования к деловой репутации участника закупки, требования к наличию у него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контракта, для выполнения работы или оказания услуги, являющихся предметом контракта, за исключением случаев, если возможность установления таких требований к участнику закупки предусмотрена настоящим Федеральным законом.</w:t>
      </w:r>
    </w:p>
    <w:p>
      <w:r>
        <w:t>Таким образом, Закон о контрактной системе наделяет заказчика правом самостоятельно определять параметры и характеристики закупаемого товара, исходя из своих объективных потребностей. Вместе с тем, буквальное толкование норм указанного Закона указывает на необходимость соблюдения баланса между детализированным описанием предмета закупки и обеспечением добросовестной конкуренции. Заказчик, формируя техническое задание, обязан формулировать требования таким образом, чтобы, с одной стороны, закупаемый товар полностью соответствовал его потребностям, а с другой — не создавалось искусственных препятствий для участия в закупке максимально широкого круга поставщиков.</w:t>
      </w:r>
    </w:p>
    <w:p>
      <w:r>
        <w:t>Изучение содержания извещения показало, что Заказчиком были предусмотрены позиции исключительно оригинальных картриджей, что подтверждается техническим заданием, являющимся неотъемлемой частью извещения.</w:t>
      </w:r>
    </w:p>
    <w:p>
      <w:r>
        <w:t>Комиссия УФАС установила, что указание на оригинальность отдельных позиций картриджей обусловлено объективной необходимостью обеспечения их полной технической совместимости с уже используемым Заказчиком оборудованием, а также необходимостью сохранения условий гарантийного обслуживания указанной техники. Позиция Заказчика о необходимости использования оригинальных картриджей в данных конкретных случаях документально обоснована и не противоречит нормам статьи 33 Закона о контрактной системе, допускающей указание на конкретный товарный знак или оригинальность при наличии объективного обоснования, в том числе для обеспечения совместимости и гарантийных условий использования оборудования.</w:t>
      </w:r>
    </w:p>
    <w:p>
      <w:r>
        <w:t>При этом, из пояснений представителя Заказчика следует, что часть оборудования, для которого приобретаются отдельные позиции картриджей не находятся на гарантийном обсаживании, но для корректной работы требуются оригинальные расходные материалы.</w:t>
      </w:r>
    </w:p>
    <w:p>
      <w:r>
        <w:t>Вместе с тем, на заседании Комиссии УФАС Заказчиком не представлено каких-либо доказательств, в том числе, эксплуатационной или технической документации имеющегося в расположении Заказчика оборудования, подтверждающих возможность использования с данным оборудованием исключительно оригинальных товарных изделий.</w:t>
      </w:r>
    </w:p>
    <w:p>
      <w:pPr>
        <w:pStyle w:val="Heading2"/>
      </w:pPr>
      <w:r>
        <w:t>мотивировочная часть</w:t>
      </w:r>
    </w:p>
    <w:p>
      <w:r>
        <w:t>Исходя из изложенного, Комиссия УФАС приходит к выводу, что Заказчиком в извещение установлены требования без возможности предоставления эквивалентного товара, что является нарушением п. 1 ч.1 ст.33 Закона о контрактной системе.</w:t>
      </w:r>
    </w:p>
    <w:p>
      <w:r>
        <w:t>Комиссия УФАС, руководствуясь ст. ст. 2,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1.Признать жалобу ООО «ТД Политон-Тех» обоснованной.</w:t>
      </w:r>
    </w:p>
    <w:p>
      <w:r>
        <w:t>2. Признать в действиях Заказчика нарушения п. 1 ч. 1 ст. 33 Закона о контрактной системе.</w:t>
      </w:r>
    </w:p>
    <w:p>
      <w:r>
        <w:t>3. Выдать Заказчику, его аукционной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системе.</w:t>
      </w:r>
    </w:p>
    <w:p>
      <w:r>
        <w:t>4.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