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202500114959011355</w:t>
      </w:r>
    </w:p>
    <w:p>
      <w:r>
        <w:rPr>
          <w:b/>
        </w:rPr>
        <w:t xml:space="preserve">УФАС: </w:t>
      </w:r>
      <w:r>
        <w:t>УФАС по Санкт-Петербургу</w:t>
      </w:r>
    </w:p>
    <w:p>
      <w:r>
        <w:rPr>
          <w:b/>
        </w:rPr>
        <w:t xml:space="preserve">Дата решения: </w:t>
      </w:r>
      <w:r>
        <w:t>27.08.2025</w:t>
      </w:r>
    </w:p>
    <w:p>
      <w:r>
        <w:rPr>
          <w:b/>
        </w:rPr>
        <w:t xml:space="preserve">Исход: </w:t>
      </w:r>
      <w:r>
        <w:t>обоснована</w:t>
      </w:r>
    </w:p>
    <w:p>
      <w:r>
        <w:rPr>
          <w:b/>
        </w:rPr>
        <w:t xml:space="preserve">Закупка №: </w:t>
      </w:r>
      <w:r>
        <w:t>0172200003125000669</w:t>
      </w:r>
    </w:p>
    <w:p>
      <w:r>
        <w:rPr>
          <w:b/>
        </w:rPr>
        <w:t xml:space="preserve">Заказчик: </w:t>
      </w:r>
      <w:r>
        <w:t>Комитет имущественных отношений Санкт-Петербурга</w:t>
      </w:r>
    </w:p>
    <w:p>
      <w:r>
        <w:rPr>
          <w:b/>
        </w:rPr>
        <w:t xml:space="preserve">Заявитель: </w:t>
      </w:r>
      <w:r>
        <w:t>ООО «Гвингрейс»</w:t>
      </w:r>
    </w:p>
    <w:p>
      <w:r>
        <w:rPr>
          <w:b/>
        </w:rPr>
        <w:t xml:space="preserve">Первоисточник в ЕИС: </w:t>
      </w:r>
      <w:r>
        <w:t>https://zakupki.gov.ru/epz/complaint/card/complaint-information.html?complaintNumber=202500114959011355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КОМИТЕТ ИМУЩЕСТВЕННЫХ ОТНОШЕНИЙ САНКТ-ПЕТЕРБУРГА</w:t>
              <w:br/>
              <w:t>191144, город Санкт-Петербург город федерального значения, Новгородская, ДОМ 20/ЛИТЕР А,</w:t>
              <w:br/>
              <w:t>suvorova@commim.spb.ru</w:t>
              <w:br/>
              <w:t>ООО "ГВИНГРЕЙС"</w:t>
              <w:br/>
              <w:t>396311, ВОРОНЕЖСКАЯ ОБЛАСТЬ, Р-Н НОВОУСМАНСКИЙ, С НОВАЯ УСМАНЬ, УЛ КРАМСКОГО, Д. 26/2</w:t>
              <w:br/>
              <w:t>gvgr1zem@mail.ru</w:t>
            </w:r>
          </w:p>
        </w:tc>
      </w:tr>
    </w:tbl>
    <w:p>
      <w:r>
        <w:t>РЕШЕНИЕ</w:t>
      </w:r>
    </w:p>
    <w:p>
      <w:r>
        <w:t>по делу № 078/06/105-2271/2025</w:t>
      </w:r>
    </w:p>
    <w:p>
      <w:r>
        <w:t>о нарушении законодательства о контрактной системе</w:t>
      </w:r>
    </w:p>
    <w:p>
      <w:r>
        <w:t>28.08.2025 Санкт-Петербург</w:t>
      </w:r>
    </w:p>
    <w:p>
      <w:r>
        <w:t>Комиссия Санкт-Петербургского УФАС России по контролю в сфере закупок (далее – Комиссия УФАС)</w:t>
      </w:r>
    </w:p>
    <w:p>
      <w:r>
        <w:t>при участии представителя:</w:t>
      </w:r>
    </w:p>
    <w:p>
      <w:r>
        <w:t>КОМИТЕТ ИМУЩЕСТВЕННЫХ ОТНОШЕНИЙ САНКТ-ПЕТЕРБУРГА (далее – Уполномоченный орган) (далее – Заказчик);</w:t>
      </w:r>
    </w:p>
    <w:p>
      <w:r>
        <w:t>ООО "ГВИНГРЕЙС" (далее – Заявитель);</w:t>
      </w:r>
    </w:p>
    <w:p>
      <w:pPr>
        <w:pStyle w:val="Heading2"/>
      </w:pPr>
      <w:r>
        <w:t>описательная часть</w:t>
      </w:r>
    </w:p>
    <w:p>
      <w:r>
        <w:t>рассмотрев посредством системы видеоконференцсвязи жалобу Заявителя (вх. № 20229/25 от 22.08.2025) на действия Заказчика при определении (подрядчика, исполнителя) путем проведения открытого конкурса в электронной форме на выполнение топогеодезических работ в отношении земельных участков под городскими лесами, расположенными на территории Санкт-Петербурга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27.07.2025 на Официальном сайте Единой информационной системы в сфере закупок www.zakupki.gov.ru, номер извещения 0172200003125000669.</w:t>
      </w:r>
    </w:p>
    <w:p>
      <w:r>
        <w:t>Начальная (максимальная) цена контракта – 39 000 000,00 рублей.</w:t>
      </w:r>
    </w:p>
    <w:p>
      <w:r>
        <w:t>В жалобе Заявитель указал на неправомерные действия комиссии по осуществлению закупок Заказчика, по основаниям, изложенным в жалобе.</w:t>
      </w:r>
    </w:p>
    <w:p>
      <w:r>
        <w:t>Информация, изложенная в жалобе, представленные документы подтверждают следующие обстоятельства:</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Согласно п. 4 ч. 2 ст. 42 Закона о контрактной системе извещение об осуществлении закупки, если иное не предусмотрено настоящим Федеральным законом, должно содержать порядок рассмотрения и оценки заявок на участие в конкурсах в соответствии с настоящим Федеральным законом.</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Пунктом 27 Положения предусмотрено, что в случае применения показателя оценки, указанного в подпункте "б" пункта 24 настоящего Положения, документом, предусмотренным приложением N 1 к настоящему Положению, устанавливаются:</w:t>
      </w:r>
    </w:p>
    <w:p>
      <w:r>
        <w:t>а) перечень оборудования и других материальных ресурсов, оцениваемых по показателю, предусмотренному подпунктом "б" пункта 24 настоящего Положения, и необходимых для поставки товара, выполнения работ, оказания услуг, являющихся объектом закупки;</w:t>
      </w:r>
    </w:p>
    <w:p>
      <w:r>
        <w:t>б)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подпунктом "а" настоящего пункта:</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r>
        <w:t>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r>
        <w:t>иные документы, подтверждающие нахождение у участника закупки в течение срока исполнения контракта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r>
        <w:t>в) к оценке принимаются документы, предусмотренные подпунктом "б" настоящего пункта, в случае их представления в заявке в полном объеме и со всеми приложениями.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В силу п.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подпункта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Анализ вышеуказанного раздела извещения показал, что Заказчиком установлен, в том числе следующий порядок оценки заявок:</w:t>
      </w:r>
    </w:p>
    <w:tbl>
      <w:tblPr>
        <w:tblStyle w:val="TableGrid"/>
        <w:tblW w:type="auto" w:w="0"/>
        <w:tblLook w:firstColumn="1" w:firstRow="1" w:lastColumn="0" w:lastRow="0" w:noHBand="0" w:noVBand="1" w:val="04A0"/>
      </w:tblPr>
      <w:tblGrid>
        <w:gridCol w:w="4320"/>
        <w:gridCol w:w="4320"/>
      </w:tblGrid>
      <w:tr>
        <w:tc>
          <w:tcPr>
            <w:tcW w:type="dxa" w:w="4320"/>
          </w:tcPr>
          <w:p>
            <w:r>
              <w:t>Показатель оценки, детализирующий показатель оценки «Общее количество исполненных участником закупки договоров»</w:t>
            </w:r>
          </w:p>
        </w:tc>
        <w:tc>
          <w:tcPr>
            <w:tcW w:type="dxa" w:w="4320"/>
          </w:tcPr>
          <w:p>
            <w:r>
              <w:t>В целях оценки по детализирующему показателю оценки «Общее количество исполненных участником закупки договоров» в соответствии с пунктом 28 Положения Заказчиком установлены предмет договора (договоров), оцениваемого по детализирующему показателю оценки сопоставимый с предметом контракта, заключаемого по результатам определения поставщика (подрядчика, исполнителя) и перечень документов, подтверждающих наличие у участника закупки опыта выполнения работы, связанного с предметом контракта.</w:t>
              <w:br/>
              <w:t>К оценке принимаются исполненные участником закупки договоры, предусматривающие выполнение топогеодезических работ в отношении земельного участка вне зависимости от типа земельного участка и его площади.</w:t>
              <w:br/>
              <w:t>Перечень документов, подтверждающих наличие у участника закупки опыта выполнения работы, связанного с предметом контракта:</w:t>
              <w:br/>
              <w:t>1) Исполненный договор (договоры);</w:t>
              <w:br/>
              <w:t>2) Акты приемки выполненных работ, составленные при исполнении указанного в пункте 1 договора (договоров). При этом последний акт, составленный при исполнении указанного в пункте 1 договора, должен быть подписан не ранее чем за 5 лет до даты окончания срока подачи заявок;</w:t>
              <w:br/>
              <w:t>К оценке принимаются исключительно исполненные договоры, при исполнении которых подрядчиком исполнены требования об уплате неустоек (штрафов, пеней) (в случае начисления неустоек).</w:t>
              <w:br/>
              <w:t>К оценке принимаются исполненные договоры на выполнение топогеодезических работ, непосредственным исполнителем которых являлся участник закупки на основании договора подряда или субподряда.</w:t>
              <w:b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w:t>
              <w:br/>
              <w:t>К оценке принимаются документы, предусмотренные настоящим пунктом, в случае их представления в заявке в полном объеме и со всеми приложениями (в случае если проектная документация является приложением к таким документам, то к оценке принимаются документы, в том числе если к ним не приложена такая проектная документация). Документы направляются в форме электронных документов или в форме электронных образов бумажных документов. 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br/>
              <w:t>Договоры, по которым в представленных в заявке документах выявлены несоответствия указанных сведений (в том числе в части стоимости и видов выполненных работ, дат подписания договоров и отчетных документов, адресов выполнения работ, реквизитов подрядных организаций), при оценке заявки по детализирующему показателю «Общее количество исполненных участником закупки договоров» учтены не будут.</w:t>
              <w:br/>
              <w:t>В случае отсутствия в составе заявки договоров и (или) актов приемки выполненных работ по таким договорам, такие договоры при оценке заявки по детализирующему показателю «Общее количество исполненных участником закупки договоров» учтены не будут.</w:t>
              <w:br/>
              <w:t>Для Заказчика лучшим является наибольшее значение детализирующего показателя оценки «Общее количество исполненных участником закупки договоров»– по формуле:</w:t>
              <w:br/>
              <w:t>где:</w:t>
              <w:br/>
              <w:t>Хi - значение характеристики объекта закупки, содержащееся в предложении участника закупки, заявка (часть заявки) которого подлежит в соответствии с Законом оценке по критерию оценки «Квалификация участника закупки»;</w:t>
              <w:br/>
              <w:t>Хmax - максимальное значение характеристики объекта закупки, содержащееся в заявках (частях заявок), подлежащих в соответствии с Законом оценке по критерию оценки «Квалификация участника закупки»;</w:t>
              <w:br/>
              <w:t>Хmin - минимальное значение характеристики объекта закупки, содержащееся в заявках (частях заявок), подлежащих в соответствии с Законом оценке по критерию оценки «Квалификация участника закупки».</w:t>
              <w:br/>
              <w:t>Документальное подтверждение предложения участника закупки по данному показателю предоставляется по рекомендуемой форме, указанной в Таблице 3.</w:t>
            </w:r>
          </w:p>
        </w:tc>
      </w:tr>
      <w:tr>
        <w:tc>
          <w:tcPr>
            <w:tcW w:type="dxa" w:w="4320"/>
          </w:tcPr>
          <w:p>
            <w:r>
              <w:t>Показатель оценки, детализирующий показатель оценки «Наибольшая цена одного из исполненных участником закупки договоров»</w:t>
            </w:r>
          </w:p>
        </w:tc>
        <w:tc>
          <w:tcPr>
            <w:tcW w:type="dxa" w:w="4320"/>
          </w:tcPr>
          <w:p>
            <w:r>
              <w:t>В целях оценки по детализирующему показателю оценки «Наибольшая цена одного из исполненных участником закупки договоров» в соответствии с пунктом 28 Положения Заказчиком установлены предмет договора (договоров), оцениваемого по детализирующему показателю оценки сопоставимый с предметом контракта, заключаемого по результатам определения поставщика (подрядчика, исполнителя) и перечень документов, подтверждающих наличие у участника закупки опыта выполнения работы, связанного с предметом контракта.</w:t>
              <w:br/>
              <w:t>К оценке принимаются исполненные участником закупки договоры, предусматривающие выполнение топогеодезических работ в отношении земельного участка вне зависимости от типа земельного участка и его площади.</w:t>
              <w:br/>
              <w:t>Перечень документов, подтверждающих наличие у участника закупки опыта выполнения работы, связанного с предметом контракта:</w:t>
              <w:br/>
              <w:t>1) Исполненный договор;</w:t>
              <w:br/>
              <w:t>2) Акты приемки выполненных работ, составленные при исполнении указанного в пункте 1 договора. При этом последний акт, составленный при исполнении указанного в пункте 1 договора, должен быть подписан не ранее чем за 5 лет до даты окончания срока подачи заявок;</w:t>
              <w:br/>
              <w:t>К оценке принимаются исключительно исполненные договоры, при исполнении которых подрядчиком исполнены требования об уплате неустоек (штрафов, пеней) (в случае начисления неустоек).</w:t>
              <w:br/>
              <w:t>К оценке принимаются исполненные договоры на выполнение топогеодезических работ, непосредственным исполнителем которых являлся участник закупки на основании договора подряда или субподряда.</w:t>
              <w:br/>
              <w:t>В случае, если в рамках договора помимо топогеодезических работ в отношении земельного участка вне зависимости от типа земельного участка и его площади выполнены другие виды работ, то по детализирующему показателю оценки «Наибольшая цена одного из исполненных участником закупки договоров» засчитывается только стоимость выполненных топогеодезических работ. В случае, если из представленных документов по такому договору не удается определить стоимость выполненных топогеодезических работ, такой договор не засчитывается.</w:t>
              <w:b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w:t>
              <w:br/>
              <w:t>К оценке принимаются документы, предусмотренные настоящим пунктом, в случае их представления в заявке в полном объеме и со всеми приложениями (в случае если проектная документация является приложением к таким документам, то к оценке принимаются документы, в том числе если к ним не приложена такая проектная документация). Документы направляются в форме электронных документов или в форме электронных образов бумажных документов. 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b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br/>
              <w:t>Договоры, по которым в представленных в заявке документах выявлены несоответствия указанных сведений (в том числе в части стоимости и видов выполненных работ, дат подписания договоров и отчетных документов, адресов выполнения работ, реквизитов подрядных организаций), при оценке заявки по детализирующему показателю «Наибольшая цена одного из исполненных участником закупки договоров» учтены не будут.</w:t>
              <w:br/>
              <w:t>В случае отсутствия в составе заявки договоров и (или) актов приемки выполненных работ по таким договорам, такие договоры при оценке заявки по детализирующему показателю «Наибольшая цена одного из исполненных участником закупки договоров» учтены не будут.</w:t>
              <w:br/>
              <w:t>Для Заказчика лучшим является наибольшее значение детализирующего показателя оценки «Наибольшая цена одного из исполненных участником закупки договоров»– по формуле:</w:t>
              <w:br/>
              <w:t>где:</w:t>
              <w:br/>
              <w:t>Хi - значение характеристики объекта закупки, содержащееся в предложении участника закупки, заявка (часть заявки) которого подлежит в соответствии с Законом оценке по критерию оценки «Квалификация участника закупки»;</w:t>
              <w:br/>
              <w:t>Хmax - максимальное значение характеристики объекта закупки, содержащееся в заявках (частях заявок), подлежащих в соответствии с Законом оценке по критерию оценки «Квалификация участника закупки»;</w:t>
              <w:br/>
              <w:t>Хmin - минимальное значение характеристики объекта закупки, содержащееся в заявках (частях заявок), подлежащих в соответствии с Законом оценке по критерию оценки «Квалификация участника закупки».</w:t>
              <w:br/>
              <w:t>Документальное подтверждение предложения участника закупки по данному показателю предоставляется по рекомендуемой форме, указанной в Таблице 3.</w:t>
            </w:r>
          </w:p>
        </w:tc>
      </w:tr>
    </w:tbl>
    <w:p>
      <w:r>
        <w:t>В соответствии с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ст.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Протокол рассмотрения и оценки вторых частей заявок на участие в открытом конкурсе в электронной форме от 18.08.2025 №ПРОII1 содержит следующую информацию в отношении заявки ООО "ГВИНГРЕЙС":</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Критерии (показатели)</w:t>
            </w:r>
          </w:p>
        </w:tc>
        <w:tc>
          <w:tcPr>
            <w:tcW w:type="dxa" w:w="2160"/>
          </w:tcPr>
          <w:p>
            <w:r>
              <w:t>Предложение участника</w:t>
            </w:r>
          </w:p>
        </w:tc>
        <w:tc>
          <w:tcPr>
            <w:tcW w:type="dxa" w:w="2160"/>
          </w:tcPr>
          <w:p>
            <w:r>
              <w:t>Оценка без учета значимости</w:t>
            </w:r>
          </w:p>
        </w:tc>
        <w:tc>
          <w:tcPr>
            <w:tcW w:type="dxa" w:w="2160"/>
          </w:tcPr>
          <w:p>
            <w:r>
              <w:t>Оценка с учетом значимости</w:t>
            </w:r>
          </w:p>
        </w:tc>
      </w:tr>
      <w:tr>
        <w:tc>
          <w:tcPr>
            <w:tcW w:type="dxa" w:w="2160"/>
          </w:tcPr>
          <w:p>
            <w:r>
              <w:t>Критерий: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2160"/>
          </w:tcPr>
          <w:p>
            <w:r/>
          </w:p>
        </w:tc>
        <w:tc>
          <w:tcPr>
            <w:tcW w:type="dxa" w:w="2160"/>
          </w:tcPr>
          <w:p>
            <w:r>
              <w:t>16.57</w:t>
            </w:r>
          </w:p>
        </w:tc>
        <w:tc>
          <w:tcPr>
            <w:tcW w:type="dxa" w:w="2160"/>
          </w:tcPr>
          <w:p>
            <w:r>
              <w:t>6.63</w:t>
            </w:r>
          </w:p>
        </w:tc>
      </w:tr>
      <w:tr>
        <w:tc>
          <w:tcPr>
            <w:tcW w:type="dxa" w:w="2160"/>
          </w:tcPr>
          <w:p>
            <w:r>
              <w:t>Показатель: Наличие у участников закупки специалистов и иных работников определенного уровня квалификации</w:t>
            </w:r>
          </w:p>
        </w:tc>
        <w:tc>
          <w:tcPr>
            <w:tcW w:type="dxa" w:w="2160"/>
          </w:tcPr>
          <w:p>
            <w:r/>
          </w:p>
        </w:tc>
        <w:tc>
          <w:tcPr>
            <w:tcW w:type="dxa" w:w="2160"/>
          </w:tcPr>
          <w:p>
            <w:r>
              <w:t>82.86</w:t>
            </w:r>
          </w:p>
        </w:tc>
        <w:tc>
          <w:tcPr>
            <w:tcW w:type="dxa" w:w="2160"/>
          </w:tcPr>
          <w:p>
            <w:r>
              <w:t>16.57</w:t>
            </w:r>
          </w:p>
        </w:tc>
      </w:tr>
      <w:tr>
        <w:tc>
          <w:tcPr>
            <w:tcW w:type="dxa" w:w="2160"/>
          </w:tcPr>
          <w:p>
            <w:r>
              <w:t>Детализирующий показатель: Наличие у участников закупки специалистов и иных работников определенного уровня квалификации (кадастровых инженеров)</w:t>
            </w:r>
          </w:p>
        </w:tc>
        <w:tc>
          <w:tcPr>
            <w:tcW w:type="dxa" w:w="2160"/>
          </w:tcPr>
          <w:p>
            <w:r>
              <w:t>30.0000</w:t>
            </w:r>
          </w:p>
        </w:tc>
        <w:tc>
          <w:tcPr>
            <w:tcW w:type="dxa" w:w="2160"/>
          </w:tcPr>
          <w:p>
            <w:r>
              <w:t>82.86</w:t>
            </w:r>
          </w:p>
        </w:tc>
        <w:tc>
          <w:tcPr>
            <w:tcW w:type="dxa" w:w="2160"/>
          </w:tcPr>
          <w:p>
            <w:r>
              <w:t>82.86</w:t>
            </w:r>
          </w:p>
        </w:tc>
      </w:tr>
      <w:tr>
        <w:tc>
          <w:tcPr>
            <w:tcW w:type="dxa" w:w="2160"/>
          </w:tcPr>
          <w:p>
            <w:r>
              <w:t>Показатель: Наличие у участников закупки опыта поставки товара, выполнения работы, оказания услуги, связанного с предметом контракта</w:t>
            </w:r>
          </w:p>
        </w:tc>
        <w:tc>
          <w:tcPr>
            <w:tcW w:type="dxa" w:w="2160"/>
          </w:tcPr>
          <w:p>
            <w:r/>
          </w:p>
        </w:tc>
        <w:tc>
          <w:tcPr>
            <w:tcW w:type="dxa" w:w="2160"/>
          </w:tcPr>
          <w:p>
            <w:r>
              <w:t>0.00</w:t>
            </w:r>
          </w:p>
        </w:tc>
        <w:tc>
          <w:tcPr>
            <w:tcW w:type="dxa" w:w="2160"/>
          </w:tcPr>
          <w:p>
            <w:r>
              <w:t>0.00</w:t>
            </w:r>
          </w:p>
        </w:tc>
      </w:tr>
      <w:tr>
        <w:tc>
          <w:tcPr>
            <w:tcW w:type="dxa" w:w="2160"/>
          </w:tcPr>
          <w:p>
            <w:r>
              <w:t>Детализирующий показатель: Общее количество исполненных участником закупки договоров</w:t>
            </w:r>
          </w:p>
        </w:tc>
        <w:tc>
          <w:tcPr>
            <w:tcW w:type="dxa" w:w="2160"/>
          </w:tcPr>
          <w:p>
            <w:r>
              <w:t>0.0000</w:t>
            </w:r>
          </w:p>
        </w:tc>
        <w:tc>
          <w:tcPr>
            <w:tcW w:type="dxa" w:w="2160"/>
          </w:tcPr>
          <w:p>
            <w:r>
              <w:t>0.00</w:t>
            </w:r>
          </w:p>
        </w:tc>
        <w:tc>
          <w:tcPr>
            <w:tcW w:type="dxa" w:w="2160"/>
          </w:tcPr>
          <w:p>
            <w:r>
              <w:t>0.00</w:t>
            </w:r>
          </w:p>
        </w:tc>
      </w:tr>
      <w:tr>
        <w:tc>
          <w:tcPr>
            <w:tcW w:type="dxa" w:w="2160"/>
          </w:tcPr>
          <w:p>
            <w:r>
              <w:t>Детализирующий показатель: Наибольшая цена одного из исполненных участником закупки договоров</w:t>
            </w:r>
          </w:p>
        </w:tc>
        <w:tc>
          <w:tcPr>
            <w:tcW w:type="dxa" w:w="2160"/>
          </w:tcPr>
          <w:p>
            <w:r>
              <w:t>0.0000</w:t>
            </w:r>
          </w:p>
        </w:tc>
        <w:tc>
          <w:tcPr>
            <w:tcW w:type="dxa" w:w="2160"/>
          </w:tcPr>
          <w:p>
            <w:r>
              <w:t>0.00</w:t>
            </w:r>
          </w:p>
        </w:tc>
        <w:tc>
          <w:tcPr>
            <w:tcW w:type="dxa" w:w="2160"/>
          </w:tcPr>
          <w:p>
            <w:r>
              <w:t>0.00</w:t>
            </w:r>
          </w:p>
        </w:tc>
      </w:tr>
    </w:tbl>
    <w:p>
      <w:r>
        <w:t>Анализ протокола рассмотрения и оценки вторых частей заявок на участие в открытом конкурсе в электронной форме от 18.08.2025 №ПРОII1 показал, что комиссия по осуществлению закупок оценила опыт поставки товара, выполнения работы, оказания услуги, связанного с предметом контракта в ноль баллов.</w:t>
      </w:r>
    </w:p>
    <w:p>
      <w:r>
        <w:t>Согласно предоставленной информации со стороны Заказчика, комиссия по осуществлению закупок не приняла контракты к оценке по причине того, что предоставленный опыт не содержит подготовку и приемку материалов топогеодезических работ, проведенных на территории Санкт-Петербурга.</w:t>
      </w:r>
    </w:p>
    <w:p>
      <w:r>
        <w:t>При этом, Комиссия УФАС констатирует, что предоставленные контракты содержат сопоставимый опыт, а порядок оценки не указывает на территориальный признак в рамках предложений по критерию.</w:t>
      </w:r>
    </w:p>
    <w:p>
      <w:r>
        <w:t>Указанные обстоятельства применения порядка оценки заявок ведут к неравному и выборочному подходу к участникам закупки, что не соотносится с положениями пп. «б» п. 1 ч. 11 ст. 48 Закона о контрактной системе.</w:t>
      </w:r>
    </w:p>
    <w:p>
      <w:pPr>
        <w:pStyle w:val="Heading2"/>
      </w:pPr>
      <w:r>
        <w:t>мотивировочная часть</w:t>
      </w:r>
    </w:p>
    <w:p>
      <w:r>
        <w:t>Комиссия УФАС, руководствуясь ст. 8, 32, 42, 48, 99, 106 Закона о контрактной системе,</w:t>
      </w:r>
    </w:p>
    <w:p>
      <w:pPr>
        <w:pStyle w:val="Heading2"/>
      </w:pPr>
      <w:r>
        <w:t>резолютивная часть</w:t>
      </w:r>
    </w:p>
    <w:p>
      <w:r>
        <w:t>РЕШИЛА:</w:t>
      </w:r>
    </w:p>
    <w:p>
      <w:r>
        <w:t>1. Признать жалобу ООО "ГВИНГРЕЙС" обоснованной.</w:t>
      </w:r>
    </w:p>
    <w:p>
      <w:r>
        <w:t>2. Признать в действиях Заказчика нарушение пп. «б» п. 1 ч. 11 ст. 48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КОМИТЕТ ИМУЩЕСТВЕННЫХ ОТНОШЕНИЙ САНКТ-ПЕТЕРБУРГА</w:t>
      </w:r>
    </w:p>
    <w:p>
      <w:r>
        <w:t>191144, город Санкт-Петербург</w:t>
      </w:r>
    </w:p>
    <w:p>
      <w:r>
        <w:t>город федерального значения, Новгородская, ДОМ 20/ЛИТЕР А,</w:t>
      </w:r>
    </w:p>
    <w:p>
      <w:r>
        <w:t>suvorova@commim.spb.ru</w:t>
      </w:r>
    </w:p>
    <w:p>
      <w:r>
        <w:t>ООО "ГВИНГРЕЙС"</w:t>
      </w:r>
    </w:p>
    <w:p>
      <w:r>
        <w:t>396311, ВОРОНЕЖСКАЯ ОБЛАСТЬ,</w:t>
      </w:r>
    </w:p>
    <w:p>
      <w:r>
        <w:t>Р-Н НОВОУСМАНСКИЙ, С НОВАЯ УСМАНЬ, УЛ КРАМСКОГО, Д. 26/2</w:t>
      </w:r>
    </w:p>
    <w:p>
      <w:r>
        <w:t>gvgr1zem@mail.ru</w:t>
      </w:r>
    </w:p>
    <w:p>
      <w:r>
        <w:t>ПРЕДПИСАНИЕ</w:t>
      </w:r>
    </w:p>
    <w:p>
      <w:r>
        <w:t>об устранении нарушений законодательства о закупках</w:t>
      </w:r>
    </w:p>
    <w:p>
      <w:r>
        <w:t>по делу № 078/06/105-2271/2025</w:t>
      </w:r>
    </w:p>
    <w:p>
      <w:r>
        <w:t>28.08.2025 Санкт-Петербург</w:t>
      </w:r>
    </w:p>
    <w:p>
      <w:r>
        <w:t>Комиссия Санкт-Петербургского УФАС России по контролю в сфере закупок (далее – Комиссия УФАС)</w:t>
      </w:r>
    </w:p>
    <w:p>
      <w:r>
        <w:t>на основании своего решения по делу № 078/06/105-2271/2025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КОМИТЕТ ИМУЩЕСТВЕННЫХ ОТНОШЕНИЙ САНКТ-ПЕТЕРБУРГА, комиссии по осуществлению закупок устранить нарушения пп. «б» п. 1 ч. 11 ст. 48 Закона о контрактной системе и с этой целью:</w:t>
      </w:r>
    </w:p>
    <w:p>
      <w:r>
        <w:t>- в 14-дневный срок со дня размещения настоящего предписания на официальном сайте отменить протокол рассмотрения и оценки вторых частей заявок, протокол подведения итогов определения поставщика, составленные в ходе размещения заказа с номером извещения 0172200003125000669;</w:t>
      </w:r>
    </w:p>
    <w:p>
      <w:r>
        <w:t>- пересмотреть вторые части заявок на участие в открытом конкурсе в электронной форме с номером извещения № 0172200003125000669 с учетом мотивировочной части решения, указанного в преамбуле настоящего предписания;</w:t>
      </w:r>
    </w:p>
    <w:p>
      <w:r>
        <w:t>- завершить процедуру закупки с номером извещения № 0172200003125000669 в соответствии с законодательством о контрактной системе.</w:t>
      </w:r>
    </w:p>
    <w:p>
      <w:r>
        <w:t>2. Заказчику, комиссии по осуществлению закупок в срок до 10.10.2025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ЭТП Газпромбанк:</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12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