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202500114959011918</w:t>
      </w:r>
    </w:p>
    <w:p>
      <w:r>
        <w:rPr>
          <w:b/>
        </w:rPr>
        <w:t xml:space="preserve">УФАС: </w:t>
      </w:r>
      <w:r>
        <w:t>УФАС по Санкт-Петербургу</w:t>
      </w:r>
    </w:p>
    <w:p>
      <w:r>
        <w:rPr>
          <w:b/>
        </w:rPr>
        <w:t xml:space="preserve">Дата решения: </w:t>
      </w:r>
      <w:r>
        <w:t>05.09.2025</w:t>
      </w:r>
    </w:p>
    <w:p>
      <w:r>
        <w:rPr>
          <w:b/>
        </w:rPr>
        <w:t xml:space="preserve">Исход: </w:t>
      </w:r>
      <w:r>
        <w:t>обоснована</w:t>
      </w:r>
    </w:p>
    <w:p>
      <w:r>
        <w:rPr>
          <w:b/>
        </w:rPr>
        <w:t xml:space="preserve">Закупка №: </w:t>
      </w:r>
      <w:r>
        <w:t>0172200000425000136</w:t>
      </w:r>
    </w:p>
    <w:p>
      <w:r>
        <w:rPr>
          <w:b/>
        </w:rPr>
        <w:t xml:space="preserve">Заказчик: </w:t>
      </w:r>
      <w:r>
        <w:t>Администрация Московского района Санкт-Петербурга</w:t>
      </w:r>
    </w:p>
    <w:p>
      <w:r>
        <w:rPr>
          <w:b/>
        </w:rPr>
        <w:t xml:space="preserve">Заявитель: </w:t>
      </w:r>
      <w:r>
        <w:t>ООО «Строительная компания тамарис»</w:t>
      </w:r>
    </w:p>
    <w:p>
      <w:r>
        <w:rPr>
          <w:b/>
        </w:rPr>
        <w:t xml:space="preserve">Первоисточник в ЕИС: </w:t>
      </w:r>
      <w:r>
        <w:t>https://zakupki.gov.ru/epz/complaint/card/complaint-information.html?complaintNumber=202500114959011918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Московского района Санкт-Петербурга</w:t>
              <w:br/>
              <w:t>Московский пр., д. 129,</w:t>
              <w:br/>
              <w:t>Санкт-Петербург, 196084</w:t>
              <w:br/>
              <w:t>эл. почта: polyakova@tumos.gov.spb.ru</w:t>
              <w:br/>
              <w:t>АО «Сбербанк –АСТ»</w:t>
              <w:br/>
              <w:t>Большой Саввинский пер., д. 12, стр. 9,</w:t>
              <w:br/>
              <w:t>Москва, 119435</w:t>
              <w:br/>
              <w:t>факс: (495) 787-29-98</w:t>
              <w:br/>
              <w:t>ООО «Строительная компания Тамарис»</w:t>
              <w:br/>
              <w:t>пр. Маршала Жукова, д. 54, к. 1, лит. А, пом. 26Н,</w:t>
              <w:br/>
              <w:t>Санкт-Петербург, 198261</w:t>
              <w:br/>
              <w:t>эл. почта: sktamaris@mail.ru</w:t>
            </w:r>
          </w:p>
        </w:tc>
      </w:tr>
    </w:tbl>
    <w:p>
      <w:r>
        <w:t>РЕШЕНИЕ</w:t>
      </w:r>
    </w:p>
    <w:p>
      <w:r>
        <w:t>по делу № 44-2220/25</w:t>
      </w:r>
    </w:p>
    <w:p>
      <w:r>
        <w:t>о нарушении законодательства о контрактной системе</w:t>
      </w:r>
    </w:p>
    <w:p>
      <w:r>
        <w:t>05.09.2025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w:t>
      </w:r>
    </w:p>
    <w:p>
      <w:r>
        <w:t>Администрация Московского района Санкт-Петербурга (далее – Уполномоченный орган) уведомленных о заседании Комиссии;</w:t>
      </w:r>
    </w:p>
    <w:p>
      <w:r>
        <w:t>при участии представителей:</w:t>
      </w:r>
    </w:p>
    <w:p>
      <w:r>
        <w:t>СПБ ГБУ «Молодежно-подростковый центр «Московский» (далее – Заказчик):;</w:t>
      </w:r>
    </w:p>
    <w:p>
      <w:r>
        <w:t>ООО «Строительная компания Тамарис» (далее – Заявитель):,</w:t>
      </w:r>
    </w:p>
    <w:p>
      <w:pPr>
        <w:pStyle w:val="Heading2"/>
      </w:pPr>
      <w:r>
        <w:t>описательная часть</w:t>
      </w:r>
    </w:p>
    <w:p>
      <w:r>
        <w:t>рассмотрев посредством системы видеоконференцсвязи жалобу Заявителя (вх. № 21068/25 от 03.09.2025) на действия Администрации Московского района Санкт-Петербурга (Уполномоченный орган) при определении (подрядчика, исполнителя) путем проведения открытого конкурса в электронной форме на выполнение работ по капитальному ремонту помещений СПБ ГБУ МПЦ «Московский» подростково-молодежный клуб «Восток» по адресу: Санкт-Петербург, ул. Кубинская, д.44 (извещение № 0172200000425000136)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06.08.2025 на Официальном сайте Единой информационной системы в сфере закупок www.zakupki.gov.ru, номер извещения 0172200000425000136.</w:t>
      </w:r>
    </w:p>
    <w:p>
      <w:r>
        <w:t>Начальная (максимальная) цена контракта – 33 297 704, 14 рубля.</w:t>
      </w:r>
    </w:p>
    <w:p>
      <w:r>
        <w:t>В жалобе Заявитель указал на неправомерные действия комиссии по осуществлению закупок Заказчика, по основаниям, изложенным в жалобе.</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Постановления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членов.2604</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соответствии с п. 26 Положения оценка заявок по критерию оценки "квалификация участников закупки" осуществляется с учетом требований настоящего раздела в порядке, установленном пунктами 20 - 23 раздела IV настоящего Положения для оценки заявок по критерию оценки "характеристики объекта закупки".</w:t>
      </w:r>
    </w:p>
    <w:p>
      <w:r>
        <w:t>В силу п.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Извещение об осуществлении закупки содержит следующие положения:</w:t>
      </w:r>
    </w:p>
    <w:p>
      <w:r>
        <w:t>«Устанавливается положение о принятии к оценке исключительно исполненного договора (договоров, контрактов), предусматривающего выполнение работ на одном из следующих объектов, соответствующих объекту закупки:</w:t>
      </w:r>
    </w:p>
    <w:p>
      <w:r>
        <w:t>Договор (контракт), предусматривающий выполнение работ по строительству, реконструкции, капитальному ремонту объекта капитального строительства.</w:t>
      </w:r>
    </w:p>
    <w:p>
      <w:r>
        <w:t>Договор (контракт), подтверждающих наличие у участника закупки опыта выполнения работы связанного с предметом контракта.</w:t>
      </w:r>
    </w:p>
    <w:p>
      <w:r>
        <w:t>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r>
        <w:t>1) исполненный договор (договоры, контракты) в полном объеме и со всеми приложениями (за исключением проектной документации);</w:t>
      </w:r>
    </w:p>
    <w:p>
      <w:r>
        <w:t>2) акт (акты) приемки выполненных работ, оказанных услуг, составленные при исполнении такого договора (договоров, контрактов)</w:t>
      </w:r>
    </w:p>
    <w:p>
      <w:r>
        <w:t>Последний акт, составленный при исполнении договора (контракта) должен быть подписан не ранее чем за 5 лет до даты окончания срока подачи заявок</w:t>
      </w:r>
    </w:p>
    <w:p>
      <w:r>
        <w:t>Установлено положение о принятии к оценке исключительно исполненного договора (договоров, контрактов),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К оценке принимаются исключительно контракты, заключенные и исполненные в соответствии с Федеральным законом №44-ФЗ, договоры, заключенные и исполненные в соответствии с Федеральным законом "О закупках товаров, работ, услуг отдельными видами юридических лиц" №223-ФЗ.</w:t>
      </w:r>
    </w:p>
    <w:p>
      <w: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w:t>
      </w:r>
    </w:p>
    <w:p>
      <w: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Документы направляются участником закупки в форме электронных документов или в форме электронных образов бумажных документов.</w:t>
      </w:r>
    </w:p>
    <w:p>
      <w:r>
        <w:t>Оцениваются представленные участником закупки договоры, которые приложены и/или указаны в составе заявки (информацию о договорах можно указать в рекомендованной форме «Сведения о наличии у участников закупки опыта работы, связанного с предметом контракта» (приложение 1 к порядку рассмотрения и оценки заявок на участие в конкурсе). Данная форма содержит рекомендуемый образец. Данная форма не является обязательной к предоставлению.</w:t>
      </w:r>
    </w:p>
    <w:p>
      <w:r>
        <w:t>Оценка заявок осуществляется по формуле, предусмотренной пп.б п. 1 Положения:</w:t>
      </w:r>
    </w:p>
    <w:p>
      <w:r>
        <w:t>Хmax - максимальное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оценке по критерию оценки "характеристики объекта закупки";</w:t>
      </w:r>
    </w:p>
    <w:p>
      <w:r>
        <w:t>Хmin - минимальное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Частью 11 ст. 48 Закона о контрактной системе установлено, что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силу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Анализ протокола рассмотрения и оценки вторых частей заявок на участие в открытом конкурсе в электронной форме от 27.08.2025 №ПРОII1 показал, что в нём содержится следующая информация об оценке заявки участника:</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Идентификационный номер заявки</w:t>
            </w:r>
          </w:p>
        </w:tc>
        <w:tc>
          <w:tcPr>
            <w:tcW w:type="dxa" w:w="1728"/>
          </w:tcPr>
          <w:p>
            <w:r>
              <w:t>Критерий</w:t>
            </w:r>
          </w:p>
        </w:tc>
        <w:tc>
          <w:tcPr>
            <w:tcW w:type="dxa" w:w="1728"/>
          </w:tcPr>
          <w:p>
            <w:r>
              <w:t>Значимость критерия, %</w:t>
            </w:r>
          </w:p>
        </w:tc>
        <w:tc>
          <w:tcPr>
            <w:tcW w:type="dxa" w:w="1728"/>
          </w:tcPr>
          <w:p>
            <w:r>
              <w:t>Оценка по заявке</w:t>
            </w:r>
          </w:p>
        </w:tc>
        <w:tc>
          <w:tcPr>
            <w:tcW w:type="dxa" w:w="1728"/>
          </w:tcPr>
          <w:p/>
        </w:tc>
      </w:tr>
      <w:tr>
        <w:tc>
          <w:tcPr>
            <w:tcW w:type="dxa" w:w="1728"/>
          </w:tcPr>
          <w:p>
            <w:r/>
          </w:p>
        </w:tc>
        <w:tc>
          <w:tcPr>
            <w:tcW w:type="dxa" w:w="1728"/>
          </w:tcPr>
          <w:p>
            <w:r/>
          </w:p>
        </w:tc>
        <w:tc>
          <w:tcPr>
            <w:tcW w:type="dxa" w:w="1728"/>
          </w:tcPr>
          <w:p>
            <w:r/>
          </w:p>
        </w:tc>
        <w:tc>
          <w:tcPr>
            <w:tcW w:type="dxa" w:w="1728"/>
          </w:tcPr>
          <w:p>
            <w:r>
              <w:t>Без учета значимости</w:t>
            </w:r>
          </w:p>
        </w:tc>
        <w:tc>
          <w:tcPr>
            <w:tcW w:type="dxa" w:w="1728"/>
          </w:tcPr>
          <w:p>
            <w:r>
              <w:t>С учетом значимости</w:t>
            </w:r>
          </w:p>
        </w:tc>
      </w:tr>
      <w:tr>
        <w:tc>
          <w:tcPr>
            <w:tcW w:type="dxa" w:w="1728"/>
          </w:tcPr>
          <w:p>
            <w:r>
              <w:t>135</w:t>
            </w:r>
          </w:p>
        </w:tc>
        <w:tc>
          <w:tcPr>
            <w:tcW w:type="dxa" w:w="1728"/>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w:t>
            </w:r>
          </w:p>
        </w:tc>
        <w:tc>
          <w:tcPr>
            <w:tcW w:type="dxa" w:w="1728"/>
          </w:tcPr>
          <w:p>
            <w:r>
              <w:t>40.00</w:t>
            </w:r>
          </w:p>
        </w:tc>
        <w:tc>
          <w:tcPr>
            <w:tcW w:type="dxa" w:w="1728"/>
          </w:tcPr>
          <w:p>
            <w:r>
              <w:t>100.00</w:t>
            </w:r>
          </w:p>
        </w:tc>
        <w:tc>
          <w:tcPr>
            <w:tcW w:type="dxa" w:w="1728"/>
          </w:tcPr>
          <w:p>
            <w:r>
              <w:t>40.00</w:t>
            </w:r>
          </w:p>
        </w:tc>
      </w:tr>
      <w:tr>
        <w:tc>
          <w:tcPr>
            <w:tcW w:type="dxa" w:w="1728"/>
          </w:tcPr>
          <w:p>
            <w:r>
              <w:t>20</w:t>
            </w:r>
          </w:p>
        </w:tc>
        <w:tc>
          <w:tcPr>
            <w:tcW w:type="dxa" w:w="1728"/>
          </w:tcPr>
          <w:p>
            <w:r/>
          </w:p>
        </w:tc>
        <w:tc>
          <w:tcPr>
            <w:tcW w:type="dxa" w:w="1728"/>
          </w:tcPr>
          <w:p>
            <w:r/>
          </w:p>
        </w:tc>
        <w:tc>
          <w:tcPr>
            <w:tcW w:type="dxa" w:w="1728"/>
          </w:tcPr>
          <w:p>
            <w:r>
              <w:t>0.00</w:t>
            </w:r>
          </w:p>
        </w:tc>
        <w:tc>
          <w:tcPr>
            <w:tcW w:type="dxa" w:w="1728"/>
          </w:tcPr>
          <w:p>
            <w:r>
              <w:t>0.00</w:t>
            </w:r>
          </w:p>
        </w:tc>
      </w:tr>
      <w:tr>
        <w:tc>
          <w:tcPr>
            <w:tcW w:type="dxa" w:w="1728"/>
          </w:tcPr>
          <w:p>
            <w:r>
              <w:t>174</w:t>
            </w:r>
          </w:p>
        </w:tc>
        <w:tc>
          <w:tcPr>
            <w:tcW w:type="dxa" w:w="1728"/>
          </w:tcPr>
          <w:p>
            <w:r/>
          </w:p>
        </w:tc>
        <w:tc>
          <w:tcPr>
            <w:tcW w:type="dxa" w:w="1728"/>
          </w:tcPr>
          <w:p>
            <w:r/>
          </w:p>
        </w:tc>
        <w:tc>
          <w:tcPr>
            <w:tcW w:type="dxa" w:w="1728"/>
          </w:tcPr>
          <w:p>
            <w:r>
              <w:t>45.62</w:t>
            </w:r>
          </w:p>
        </w:tc>
        <w:tc>
          <w:tcPr>
            <w:tcW w:type="dxa" w:w="1728"/>
          </w:tcPr>
          <w:p>
            <w:r>
              <w:t>18.25</w:t>
            </w:r>
          </w:p>
        </w:tc>
      </w:tr>
      <w:tr>
        <w:tc>
          <w:tcPr>
            <w:tcW w:type="dxa" w:w="1728"/>
          </w:tcPr>
          <w:p>
            <w:r>
              <w:t>22</w:t>
            </w:r>
          </w:p>
        </w:tc>
        <w:tc>
          <w:tcPr>
            <w:tcW w:type="dxa" w:w="1728"/>
          </w:tcPr>
          <w:p>
            <w:r/>
          </w:p>
        </w:tc>
        <w:tc>
          <w:tcPr>
            <w:tcW w:type="dxa" w:w="1728"/>
          </w:tcPr>
          <w:p>
            <w:r/>
          </w:p>
        </w:tc>
        <w:tc>
          <w:tcPr>
            <w:tcW w:type="dxa" w:w="1728"/>
          </w:tcPr>
          <w:p>
            <w:r>
              <w:t>0.23</w:t>
            </w:r>
          </w:p>
        </w:tc>
        <w:tc>
          <w:tcPr>
            <w:tcW w:type="dxa" w:w="1728"/>
          </w:tcPr>
          <w:p>
            <w:r>
              <w:t>0.09</w:t>
            </w:r>
          </w:p>
        </w:tc>
      </w:tr>
    </w:tbl>
    <w:p>
      <w:r>
        <w:t>Оценка заявки № 174</w:t>
      </w:r>
    </w:p>
    <w:p>
      <w:r>
        <w:t>Участником представлено 816 договора/контракта.</w:t>
      </w:r>
    </w:p>
    <w:p>
      <w:r>
        <w:t>Учтено 813 договоров/контрактов.</w:t>
      </w:r>
    </w:p>
    <w:p>
      <w:r>
        <w:t>2 договора (контракта) не были приняты к оценке, так как согласно Приложению № 4 к извещению оценке подлежат:</w:t>
      </w:r>
    </w:p>
    <w:p>
      <w:r>
        <w:t>Подпункт «в» пункта 24 Положения</w:t>
      </w:r>
    </w:p>
    <w:p>
      <w:r>
        <w:t>Подпункт «в» пункта 31</w:t>
      </w:r>
    </w:p>
    <w:p>
      <w:r>
        <w:t>Наличие исполненного договора (договоров, контрактов), сопоставимого с предметом контракта, заключаемого по результатам определения поставщика (подрядчика, исполнителя). Устанавливается положение о принятии к оценке исключительно исполненного договора (договоров, контрактов), предусматривающего выполнение работ на одном из следующих объектов, соответствующих объекту закупки:</w:t>
      </w:r>
    </w:p>
    <w:p>
      <w:r>
        <w:t>1. Договор (контракт), предусматривающий выполнение работ по строительству, реконструкции, капитальному ремонту объекта капитального строительства.</w:t>
      </w:r>
    </w:p>
    <w:p>
      <w:r>
        <w:t>2. Договор (контракт), подтверждающих наличие у участника закупки опыта выполнения работы связанного с предметом контракта.</w:t>
      </w:r>
    </w:p>
    <w:p>
      <w:r>
        <w:t>Характеристика квалификации участников закупки N 1:</w:t>
      </w:r>
    </w:p>
    <w:p>
      <w:r>
        <w:t>(813-16) *(100/ (1763-16)) = 45,62</w:t>
      </w:r>
    </w:p>
    <w:p>
      <w:r>
        <w:t>Итого по критерию:</w:t>
      </w:r>
    </w:p>
    <w:p>
      <w:r>
        <w:t>45,62*0,4= 18,25</w:t>
      </w:r>
    </w:p>
    <w:p>
      <w:r>
        <w:t>Из текста протокола рассмотрения и оценки вторых частей заявок на участие в открытом конкурсе в электронной форме от 27.08.2025 №ПРОII1 усматривается отсутствие обоснования присвоения заявкам участников того или иного количества баллов в предельных установленных количествах в соответствии с критериями и порядком оценки, определенными в извещении об осуществлении конкурса. Так, из протокола усматривается явная техническая ошибка.</w:t>
      </w:r>
    </w:p>
    <w:p>
      <w:r>
        <w:t>Вместе с тем, действия конкурсной комиссии при оценке заявок должны быть в первую очередь понятны участникам закупки. В настоящем случае алгоритм оценки и присвоения конкретного количества баллов не следует из протокола.</w:t>
      </w:r>
    </w:p>
    <w:p>
      <w:r>
        <w:t>Отсутствие в протоколе оценки заявок названного порядка не позволяет определить правомерность оценки конкурсных заявок участников закупки и препятствует участникам конкурса заявить конкретные возражения по применению (неприменению) того или иного критерия оценки, что нарушает п. 4 ч. 13 ст. 48 Закона о контрактной системе.</w:t>
      </w:r>
    </w:p>
    <w:p>
      <w:r>
        <w:t>Таким образом, доводы жалобы признан обоснованной, а в действиях Заказчика усматриваются нарушения п. 4 ч. 13 ст. 48 Закона о контрактной системе.</w:t>
      </w:r>
    </w:p>
    <w:p>
      <w:pPr>
        <w:pStyle w:val="Heading2"/>
      </w:pPr>
      <w:r>
        <w:t>мотивировочная часть</w:t>
      </w:r>
    </w:p>
    <w:p>
      <w:r>
        <w:t>Комиссия УФАС, руководствуясь ст. 8, 32, 42, 48, 99, 106 Закона о контрактной системе,</w:t>
      </w:r>
    </w:p>
    <w:p>
      <w:pPr>
        <w:pStyle w:val="Heading2"/>
      </w:pPr>
      <w:r>
        <w:t>резолютивная часть</w:t>
      </w:r>
    </w:p>
    <w:p>
      <w:r>
        <w:t>РЕШИЛА:</w:t>
      </w:r>
    </w:p>
    <w:p>
      <w:r>
        <w:t>1. Признать жалобу ООО «Строительная компания Тамарис» обоснованной.</w:t>
      </w:r>
    </w:p>
    <w:p>
      <w:r>
        <w:t>2. Признать в действиях Заказчика нарушение п. 4 ч. 13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выявленного нарушения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8</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