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202500114959012153</w:t>
      </w:r>
    </w:p>
    <w:p>
      <w:r>
        <w:rPr>
          <w:b/>
        </w:rPr>
        <w:t xml:space="preserve">УФАС: </w:t>
      </w:r>
      <w:r>
        <w:t>УФАС по Санкт-Петербургу</w:t>
      </w:r>
    </w:p>
    <w:p>
      <w:r>
        <w:rPr>
          <w:b/>
        </w:rPr>
        <w:t xml:space="preserve">Дата решения: </w:t>
      </w:r>
      <w:r>
        <w:t>10.09.2025</w:t>
      </w:r>
    </w:p>
    <w:p>
      <w:r>
        <w:rPr>
          <w:b/>
        </w:rPr>
        <w:t xml:space="preserve">Исход: </w:t>
      </w:r>
      <w:r>
        <w:t>обоснована</w:t>
      </w:r>
    </w:p>
    <w:p>
      <w:r>
        <w:rPr>
          <w:b/>
        </w:rPr>
        <w:t xml:space="preserve">Закупка №: </w:t>
      </w:r>
      <w:r>
        <w:t>0172200002125000115</w:t>
      </w:r>
    </w:p>
    <w:p>
      <w:r>
        <w:rPr>
          <w:b/>
        </w:rPr>
        <w:t xml:space="preserve">Заказчик: </w:t>
      </w:r>
      <w:r>
        <w:t>Администрация Колпинского района Санкт-Петербурга</w:t>
      </w:r>
    </w:p>
    <w:p>
      <w:r>
        <w:rPr>
          <w:b/>
        </w:rPr>
        <w:t xml:space="preserve">Заявитель: </w:t>
      </w:r>
      <w:r>
        <w:t>ООО «Рустехком»</w:t>
      </w:r>
    </w:p>
    <w:p>
      <w:r>
        <w:rPr>
          <w:b/>
        </w:rPr>
        <w:t xml:space="preserve">Первоисточник в ЕИС: </w:t>
      </w:r>
      <w:r>
        <w:t>https://zakupki.gov.ru/epz/complaint/card/complaint-information.html?complaintNumber=202500114959012153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Колпинского района</w:t>
              <w:br/>
              <w:t>Санкт-Петербурга</w:t>
              <w:br/>
              <w:t>б-р Победы, д. 1,</w:t>
              <w:br/>
              <w:t>г. Колпино, Санкт-Петербург, 196653</w:t>
              <w:br/>
              <w:t>эл. почта: sha@tukolp.gov.spb.ru</w:t>
              <w:br/>
              <w:t>ООО «РТС-тендер»</w:t>
              <w:br/>
              <w:t>наб. Тараса Шевченко, д. 23А,</w:t>
              <w:br/>
              <w:t>Москва, 121151</w:t>
              <w:br/>
              <w:t>факс: +7 (495) 733-95-19</w:t>
              <w:br/>
              <w:t>ООО «РУСТЕХКОМ»</w:t>
              <w:br/>
              <w:t>Серебристый б-р, д. 34, к. 1, лит. А, кв. 570,</w:t>
              <w:br/>
              <w:t>Санкт-Петербург, 197349</w:t>
              <w:br/>
              <w:t>эл. почта: rustechcom.spb@yandex.ru</w:t>
            </w:r>
          </w:p>
        </w:tc>
      </w:tr>
    </w:tbl>
    <w:p>
      <w:r>
        <w:t>РЕШЕНИЕ</w:t>
      </w:r>
    </w:p>
    <w:p>
      <w:r>
        <w:t>по делу № 44-2270/2025 о нарушении законодательства о контрактной системе</w:t>
      </w:r>
    </w:p>
    <w:p>
      <w:r>
        <w:t>10.09.2025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Администрации Колпинского района Санкт-Петербурга (далее – Заказчик):;</w:t>
      </w:r>
    </w:p>
    <w:p>
      <w:r>
        <w:t>ООО «РУСТЕХКОМ» (далее – Заявитель):;</w:t>
      </w:r>
    </w:p>
    <w:p>
      <w:pPr>
        <w:pStyle w:val="Heading2"/>
      </w:pPr>
      <w:r>
        <w:t>описательная часть</w:t>
      </w:r>
    </w:p>
    <w:p>
      <w:r>
        <w:t>рассмотрев посредством системы видеоконференцсвязи жалобу Заявителя (вх. № 21509/25 от 05.09.2025) на действия Администрации Колпинского района Санкт-Петербурга (Уполномоченный орган) при определении (подрядчика, исполнителя) путем проведения открытого конкурса в электронной форме на Выполнение работ по благоустройству элементов благоустройства: детское игровое оборудование (теневые навесы) здания государственного бюджетного дошкольного образовательного учреждения детского сада № 3 Колпинского района Санкт-Петербурга по адресу: Санкт-Петербург, пос. Металлострой, ул. Школьная, д. 5а, литер А (извещение № 0172200002125000115)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 размещено 27.08.2025 в единой информационной системе, номер извещения 0172200002125000115. Начальная (максимальная) цена контракта – 3 012 651, 16 рублей.</w:t>
      </w:r>
    </w:p>
    <w:p>
      <w:r>
        <w:t>В жалобе Заявитель указал на неправомерные действия Заказчика, выразившиеся, по его мнению, в установлении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Пунктом 11 ч. 1 ст. 42 Закона о контрактной системе определено, что извещение об осуществлении закупки должно содержать критерии оценки заявок на участие в конкурсах, величины значимости этих критериев в соответствии с настоящим Федеральным законом</w:t>
      </w:r>
    </w:p>
    <w:p>
      <w:r>
        <w:t>Согласно ч. 1 ст. 42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п. 4 ч. 2 ст. 42 Закона о контрактной системе, извещение об осуществлении закупки, если иное не предусмотрено настоящим Федеральным законом, должно содержать порядок рассмотрения и оценки заявок на участие в конкурсах в соответствии с настоящим Федеральным законом.</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w:t>
      </w:r>
    </w:p>
    <w:p>
      <w:r>
        <w:t>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установлено Положение об оценке заявок на участие в закупке товаров, работ, услуг для обеспечения государственных и муниципальных нужд (далее - Положение).</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Согласно п.п. 16-19 Положения</w:t>
      </w:r>
    </w:p>
    <w:p>
      <w:r>
        <w:t>16. Для оценки заявок по критерию оценки «характеристики объекта закупки» могут применяться, если иное не предусмотрено настоящим Положением,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17. Для оценки заявок по показателям оценки, предусмотренным пунктом 16 настоящего Положения, применяются детализирующие показатели, предусматривающие оценку различных характеристик, образующих такие показатели оценки.</w:t>
      </w:r>
    </w:p>
    <w:p>
      <w:r>
        <w:t>18. Если характеристика, предусмотренная детализирующим показателем, определяется количественным значением, в документе, предусмотренном приложением № 1 к настоящему Положению, указываются единица ее измерения в соответствии с Общероссийским классификатором единиц измерения ОК 015-94 (при наличии), предельное минимальное или предельное максимальное значение такой характеристики (в случае необходимости установления таких предельных значений), в рамках которых будет осуществляться оценка заявок.</w:t>
      </w:r>
    </w:p>
    <w:p>
      <w:r>
        <w:t>19.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пунктами 20 - 23 раздела IV настоящего Положения предусмотрено следующее:</w:t>
      </w:r>
    </w:p>
    <w:p>
      <w:r>
        <w:t>20. Если значение характеристики объекта закупки, определенной количественным значением, находится в функциональной зависимости от значения количества присваиваемых баллов, значение количества баллов по детализирующему показателю, присваиваемых заявке, подлежащей в соответствии с Федеральным законом оценке по критерию оценки «характеристики объекта закупки» (БХi), рассчитывается по одной из следующих формул:</w:t>
      </w:r>
    </w:p>
    <w:p>
      <w:r>
        <w:t>а) в случае, если лучшим является наименьшее значение характеристики объекта закупки, - по формуле:</w:t>
      </w:r>
    </w:p>
    <w:p>
      <w:r>
        <w:t>где:</w:t>
      </w:r>
    </w:p>
    <w:p>
      <w:r>
        <w:t>Хmax - максимальное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оценке по критерию оценки «характеристики объекта закупки»;</w:t>
      </w:r>
    </w:p>
    <w:p>
      <w:r>
        <w:t>Хmin - минимальное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б) в случае, если лучшим является наибольшее значение характеристики объекта закупки, - по формуле:</w:t>
      </w:r>
    </w:p>
    <w:p>
      <w:r>
        <w:t>в) в случае, если лучшим является наименьшее значение характеристики объекта закупки и установлено предельное минимальное значение () характеристики объекта закупки, - по формуле:</w:t>
      </w:r>
    </w:p>
    <w:p>
      <w:r>
        <w:t>где - предельное минимальное значение характеристики объекта закупки, установленное заказчиком;</w:t>
      </w:r>
    </w:p>
    <w:p>
      <w:r>
        <w:t>г) в случае, если лучшим является наименьшее значение характеристики объекта закупки и установлено предельное максимальное значение () характеристики объекта закупки, - по формуле:</w:t>
      </w:r>
    </w:p>
    <w:p>
      <w:r>
        <w:t>где - предельное максимальное значение характеристики, установленное заказчиком;</w:t>
      </w:r>
    </w:p>
    <w:p>
      <w:r>
        <w:t>д) в случае, если лучшим является наименьшее значение характеристики объекта закупки и установлены предельное минимальное значение () характеристики объекта закупки и предельное максимальное значение () характеристики объекта закупки, - по формуле:</w:t>
      </w:r>
    </w:p>
    <w:p>
      <w:r>
        <w:t>е) в случае, если лучшим является наибольшее значение характеристики объекта закупки и установлено предельное максимальное значение () характеристики объекта закупки, - по формуле:</w:t>
      </w:r>
    </w:p>
    <w:p>
      <w:r>
        <w:t>ж) в случае, если лучшим является наибольшее значение характеристики объекта закупки и установлено предельное минимальное значение () характеристики объекта закупки, - по формуле:</w:t>
      </w:r>
    </w:p>
    <w:p>
      <w:r>
        <w:t>з) в случае, если лучшим является наибольшее значение характеристики объекта закупки и установлены предельное минимальное значение () характеристики объекта закупки и предельное максимальное значение () характеристики объекта закупки, - по формуле:</w:t>
      </w:r>
    </w:p>
    <w:p>
      <w:r>
        <w:t>21. Если установлены предусмотренные пунктом 20 настоящего Положения предельное максимальное и (или) предельное минимальное значение характеристики объекта закупки и в предложении участника закупки содержится значение характеристики объекта закупки, которое выше и (или) ниже такого предельного значения соответственно, баллы по детализирующему показателю в соответствии с пунктом 20 настоящего Положения присваиваются в размере, предусмотренном для соответствующего предельного значения характеристики объекта закупки.</w:t>
      </w:r>
    </w:p>
    <w:p>
      <w:r>
        <w:t>22.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23. Если в случае, указанном в пункте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В соответствии с извещением о проведении закупки Уполномоченным органом, Заказчиком определен следующий порядок оценки по критерию «характеристика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w:t>
      </w:r>
    </w:p>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выполнения работ; технология управления рисками;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 обеспечение надлежащей технологии выполнения работ.</w:t>
      </w:r>
    </w:p>
    <w:p>
      <w: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выполнения работ (второе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выполнении работ по контракту, на право заключения которого проводится настоящий конкурс, мероприятия по обращению с отходами в соответствии с действующим законодательством РФ, мероприятия по охране окружающей среды в соответствии с действующим законодательством РФ.</w:t>
      </w:r>
    </w:p>
    <w:p>
      <w:r>
        <w:t>Под технологией управления рисками (четвертое свойство) понимаются комплекс правил, мероприятий по идентификации, оценке рисков, реагированию на риски, а также мониторингу и контролю их уровня, включающие в себя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идентифицированных рисков на общие показатели.</w:t>
      </w:r>
    </w:p>
    <w:p>
      <w:r>
        <w:t>Под осуществлением своевременного контроля качества выполнения работ (третье свойство) понимаются методы, направленные на контроль качества результата выполненных работ, методы по внутреннему контролю за состоянием уровня безопасности на объекте; методы контроля за устранением недостатков при выполнении работ, указанных заказчиком, методы, направленные на контроль качества выполнения работ, и методы контроля за действиями непосредственных исполнителей (подрядчиков).</w:t>
      </w:r>
    </w:p>
    <w:p>
      <w:r>
        <w:t>Под оснащением квалифицированного персонала участника закупки надлежащим оборудованием, инструментами и иными необходимыми средствами (пятое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выполнении работ, с указанием по каждому такому оборудованию, инструменту и иному необходимому средству в отдельности: наименования, количества, марки, модели (при наличии),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выполнения соответствующих работ.</w:t>
      </w:r>
    </w:p>
    <w:p>
      <w:r>
        <w:t>Под обеспечением надлежащей технологии управления системой качества (первое свойство) понимается перечень сведений, содержащий в том числе следующую информацию: информацию об основных функциях управления системой качества;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 мерах личной безопасности сотрудников при возникновении чрезвычайных ситуаций; информацию о обязательствах для достижения целей в области охраны труда; информацию о лицах, уполномоченных совершать проверку объектов.</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Описание свойств объекта закупки должно быть конкретным, однозначным и не должно допускать двусмысленных толкований.</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работы будут выполнены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Комиссией УФАС установлено, что характеристика критерия, не отражает свойства объекта закупки, поскольку условия оказания услуг: «Под обеспечением надлежащей технологии управления системой качества (первое свойство) понимается перечень сведений, содержащий в том числе следующую информацию: информацию об основных функциях управления системой качества;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 мерах личной безопасности сотрудников при возникновении чрезвычайных ситуаций; информацию о обязательствах для достижения целей в области охраны труда; информацию о лицах, уполномоченных совершать проверку объектов» не отражены с определённым перечнем свойств, в требованиях к оказанию услуг, содержащихся в техническом задании конкурса.</w:t>
      </w:r>
    </w:p>
    <w:p>
      <w:r>
        <w:t>В действиях Заказчика установлено нарушение п. 4 ч. 2 ст. 42 Закона о контрактной системе.</w:t>
      </w:r>
    </w:p>
    <w:p>
      <w:r>
        <w:t>В части иных доводов относительно ненадлежащего порядка оценки по критерию, Комиссия УФАС отмечет, что Закон о контрактной системе и принятые на его основе нормативно-правовые акты РФ не регламентируют установление в документации тех или иных показателей (кроме указанных в положении 2604), а также необходимую информацию, раскрывающую содержание нестоимостных критериев (кроме указанных в Положении). В связи с чем, прерогатива определить перечень показателей, их содержание и наполняемость, перечень документов, предоставляемых в составе заявки по показателям, принадлежит Заказчику.</w:t>
      </w:r>
    </w:p>
    <w:p>
      <w:r>
        <w:t>Главным правилом в таком случае выступает условие об отсутствии противоречий основным нормативно-правовым актам Российской Федерации, регламентирующих оценку заявок, окончательных предложений участников закупки товаров, работ, услуг для обеспечения государственных и муниципальных нужд.</w:t>
      </w:r>
    </w:p>
    <w:p>
      <w:r>
        <w:t>Анализ оспариваемого Заявителем порядка оценки по указанному показателю позволяет прийти к выводу о том, что указанный порядок в обжалуемой Заявителем части не противоречит требованиям Закона о контрактной системе и направлен на выявление лучшего предложения по исполнению контракта в указанной части.</w:t>
      </w:r>
    </w:p>
    <w:p>
      <w:pPr>
        <w:pStyle w:val="Heading2"/>
      </w:pPr>
      <w:r>
        <w:t>мотивировочная часть</w:t>
      </w:r>
    </w:p>
    <w:p>
      <w:r>
        <w:t>Изучив вышеуказанный порядок оценки, Комиссия УФАС приходит к выводу, что в извещении содержится: перечень свойств объекта закупки, подлежащих описанию участником закупки в составе заявки и последующей оценке по указанной характеристике; шкала оценки заявок по указанной характеристике.</w:t>
      </w:r>
    </w:p>
    <w:p>
      <w:r>
        <w:t>Таким образом, установленный Уполномоченным органом, Заказчиком порядок оценки заявок, в обжалуемой Заявителем части позволяет определить лучшее условие исполнения контракта, поскольку определяет разделы (свойства) и инструкция по заполнению рекомендуемой формы, позволяющие объективно оценить и сопоставить соответствующие заявки на предмет выявления лучших условий.</w:t>
      </w:r>
    </w:p>
    <w:p>
      <w:r>
        <w:t>Комиссия УФАС отмечет, что спорный критерий и порядок его оценки не препятствует участию в конкурсе, не предрешает исхода закупки, не создает преимуществ конкретному лицу, а в данной ситуации направлен, прежде всего, на определение победителя конкурса - лица, наиболее соответствующего потребностям Уполномоченного органа, Заказчика при выполнении работ по объекту закупки.</w:t>
      </w:r>
    </w:p>
    <w:p>
      <w:r>
        <w:t>В силу ч. 4 ст. 106 Закона о контрактной системе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w:t>
      </w:r>
    </w:p>
    <w:p>
      <w:r>
        <w:t>Следовательно, бремя доказывания при рассмотрении жалобы в контрольном органе в сфере закупок Законом о контрактной системе возлагается на лицо, подавшее жалобу на соответствующие действия Заказчика в порядке Главы 6 Закона о контрактной системе.</w:t>
      </w:r>
    </w:p>
    <w:p>
      <w:r>
        <w:t>Вместе с тем, на заседание Комиссии УФАС, Заявитель не представил в составе своей жалобы доказательств, подтверждающих обоснованность доводов жалобы, в том числе, в части обоснования того, каким образом нарушаются требования законодательства, также подателем жалобы не представлено доказательств, подтверждающих довод Заявителя, что рассматриваемый порядок оценки ограничивает количество участников закупки.</w:t>
      </w:r>
    </w:p>
    <w:p>
      <w:r>
        <w:t>Комиссия УФАС отмечает, что скопированные в жалобу положения порядка оценки заявок на участие в конкурсе, не свидетельствуют о наличии в действиях Заказчика нарушений Закона о контрактной системе в части формирования ненадлежащего порядка рассмотрения и оценки заявок.</w:t>
      </w:r>
    </w:p>
    <w:p>
      <w:r>
        <w:t>Таким образом, в указанной части Комиссия УФАС находит доводы Заявителя необоснованными.</w:t>
      </w:r>
    </w:p>
    <w:p>
      <w:r>
        <w:t>Комиссия УФАС отмечает, что в материалах дела отсутствуют сведения, позволяющие утверждать, что выявленное нарушение повлияло на права и законные интересы участников закупки и повлияли на результаты закупки.</w:t>
      </w:r>
    </w:p>
    <w:p>
      <w:r>
        <w:t>Исходя из изложенного,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Комиссия УФАС, руководствуясь ст. 99, 106 Закона о контрактной системе,</w:t>
      </w:r>
    </w:p>
    <w:p>
      <w:pPr>
        <w:pStyle w:val="Heading2"/>
      </w:pPr>
      <w:r>
        <w:t>резолютивная часть</w:t>
      </w:r>
    </w:p>
    <w:p>
      <w:r>
        <w:t>РЕШИЛА:</w:t>
      </w:r>
    </w:p>
    <w:p>
      <w:r>
        <w:t>Признать жалобу ООО «РУСТЕХКОМ» обоснованной частично.</w:t>
      </w:r>
    </w:p>
    <w:p>
      <w:r>
        <w:t>Признать в действиях Заказчика нарушение п. 4 ч. 2 ст. 42 Закона о контрактной системе.</w:t>
      </w:r>
    </w:p>
    <w:p>
      <w:r>
        <w:t>Обязательное для исполнения предписание об устранении выявленных нарушений не выдавать.</w:t>
      </w:r>
    </w:p>
    <w:p>
      <w:r>
        <w:t>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