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202500114959013341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03.10.2025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0372200131725000873</w:t>
      </w:r>
    </w:p>
    <w:p>
      <w:r>
        <w:rPr>
          <w:b/>
        </w:rPr>
        <w:t xml:space="preserve">Заказчик: </w:t>
      </w:r>
      <w:r>
        <w:t>Санкт-Петербургское государственное бюджетное учреждение здравоохранения «Городская многопрофильная больница № 2»</w:t>
      </w:r>
    </w:p>
    <w:p>
      <w:r>
        <w:rPr>
          <w:b/>
        </w:rPr>
        <w:t xml:space="preserve">Заявитель: </w:t>
      </w:r>
      <w:r>
        <w:t>ООО «Гарант-м»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https://zakupki.gov.ru/epz/complaint/card/complaint-information.html?complaintNumber=202500114959013341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СПБ ГБУЗ "ГМПБ № 2"</w:t>
              <w:br/>
              <w:t>Российская Федерация, 194354, Санкт-Петербург, ПЕР УЧЕБНЫЙ, 5</w:t>
            </w:r>
          </w:p>
        </w:tc>
      </w:tr>
    </w:tbl>
    <w:p>
      <w:r>
        <w:t>ООО "ГАРАНТ-М"</w:t>
      </w:r>
    </w:p>
    <w:p>
      <w:r>
        <w:t>141216, МОСКОВСКАЯ ОБЛАСТЬ, г.о. ПУШКИНСКИЙ, Г ПУШКИНО, Ш ЯРОСЛАВСКОЕ, Д. 228</w:t>
      </w:r>
    </w:p>
    <w:p>
      <w:r>
        <w:t>РЕШЕНИЕ</w:t>
      </w:r>
    </w:p>
    <w:p>
      <w:r>
        <w:t>по делу № 078/06/105-2673/2025</w:t>
      </w:r>
    </w:p>
    <w:p>
      <w:r>
        <w:t>о нарушении законодательства о контрактной системе</w:t>
      </w:r>
    </w:p>
    <w:p>
      <w:r>
        <w:t>03.10.2025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представителей:</w:t>
      </w:r>
    </w:p>
    <w:p>
      <w:r>
        <w:t>СПБ ГБУЗ "ГМПБ № 2" (далее – Заказчик):</w:t>
      </w:r>
    </w:p>
    <w:p>
      <w:r>
        <w:t>ООО "ГАРАНТ-М" (далее – Заявитель):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23615/25 от 30.09.2025) на действия Заказчика при определении (подрядчика, исполнителя) путем проведения запроса котировок в электронной форме на поставку медицинских изделий в 2025 году (далее – запрос котировок),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запроса котировок размещено 24.09.2025 в единой информационной системе, номер извещения 0372200131725000873. Начальная (максимальная) цена контракта – 3300000,00 рублей.</w:t>
      </w:r>
    </w:p>
    <w:p>
      <w:r>
        <w:t>В жалобе Заявитель указывает на неправомерные действия Заказчика, нарушающие, по мнению Заявителя, требования Закона о контрактной системе, по основаниям, изложенным в жалобе.</w:t>
      </w:r>
    </w:p>
    <w:p>
      <w:r>
        <w:t>Согласно представленным в порядке ч. 1 ст. 106 Закона о контрактной системе возражениям Заказчик с доводами жалобы не согласен и считает ее необоснованной.</w:t>
      </w:r>
    </w:p>
    <w:p>
      <w:r>
        <w:t>Изучив материалы дела, доводы Заявителя и пояснения Заказчика, Комиссия УФАС установила, что оспариваются положения извещения о проведении запроса котировок № 0372200131725000873 на поставку медицинских изделий, в части которых Заказчик сформировал описание объекта закупки через совокупность признаков, не вытекающих из обязательных требований национальной системы стандартизации и не подтверждённых объективной производственной необходимостью: «двухслойную» конструкцию перчаток с предписанным сочетанием цветов внутреннего и наружного слоёв, особую «анатомическую» форму с повторяющимися кольцевыми расширениями в области межфаланговых суставов, а также узкий коридор длины «не менее 400 и не более 420 мм». При этом Заявитель указывает, что соответствующая позиция КТРУ (код 22.19.60.119-00000008) не содержит обязательных характеристик, а потому дополнительные требования допустимы лишь при надлежащем и конкретном обосновании, которого в извещении нет; названные же признаки не являются функционально необходимыми и ведут к необоснованному сужению круга участников.</w:t>
      </w:r>
    </w:p>
    <w:p>
      <w:r>
        <w:t>Согласно п. 5 ч. 1 ст. 42 Закона о контрактной системе,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наименование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ч. 6 ст.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В силу ч. 6 ст. 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Правила использования каталога товаров, работ, услуг для обеспечения государственных и муниципальных нужд (далее – Правила использования КТРУ) установлены Постановлением Правительства РФ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нужд».</w:t>
      </w:r>
    </w:p>
    <w:p>
      <w:r>
        <w:t>Пунктом 3 Правил использования КТРУ установлено, что заказчики вправе применять информацию, которая включена в позицию каталога, с даты ее включения в каталог независимо от даты обязательного ее применения в соответствии с п. 18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постановлением Правительства Российской Федерации от 8 февраля 2017 г.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нужд».</w:t>
      </w:r>
    </w:p>
    <w:p>
      <w:r>
        <w:t>Согласно п. 4 Правил использования КТРУ, заказчики обязаны применять информацию, включенную в позицию каталога в соответствии с подпунктами «б» - «г» и «е» - «з» п.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Постановлением № 145,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Пунктами 5-6 Правил использования КТРУ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№ 1 к постановлению Правительства Российской Федерации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лиц", позициях 191 - 361 приложения №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случае предоставления дополнительной информации, предусмотренной п.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использования КТРУ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ст. 33 Федерального закона. При проведении предусмотренных Федеральным законом электронных процедур, закрытых электронных процедур характеристики объекта закупки, предусмотренные п. 1 ч. 1 ст. 33 Федерального закона,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ч. 1 ст. 42, п. 1 ч. 1 ст. 75 Федерального закона соответственно.</w:t>
      </w:r>
    </w:p>
    <w:p>
      <w:r>
        <w:t>В качестве кода каталога товара, работы, услуги, на которые в каталоге отсутствует соответствующая позиция, указывается код такого товара, работы, услуги согласно Общероссийскому классификатору продукции по видам экономической деятельности (ОКПД2) ОК 034-2014.</w:t>
      </w:r>
    </w:p>
    <w:p>
      <w:r>
        <w:t>Согласно пункту 1 части 2 статьи 42 Закона о контрактной системе извещение об осуществлении закупки должно содержать описание объекта закупки, которое составляется в соответствии с требованиями статьи 33 указанного закона и не должно приводить к ограничению конкуренции.</w:t>
      </w:r>
    </w:p>
    <w:p>
      <w:r>
        <w:t>В соответствии с п.п. 1-2 ч. 1 ст. 33 Закона о контрактной системе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в следующих случаях:</w:t>
      </w:r>
    </w:p>
    <w:p>
      <w:r>
        <w:t>а) сопровождение такого указания словами «или эквивалент»;</w:t>
      </w:r>
    </w:p>
    <w:p>
      <w:r>
        <w:t>б) несовместимость товаров, на которых размещаются другие товарные знаки, и необходимость обеспечения взаимодействия таких товаров с товарами, используемыми заказчиком;</w:t>
      </w:r>
    </w:p>
    <w:p>
      <w:r>
        <w:t>в) осуществление закупки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оборудование;</w:t>
      </w:r>
    </w:p>
    <w:p>
      <w:r>
        <w:t>г) осуществление закупки медицинских изделий, специализированных продуктов лечебного питания, необходимых для назначения пациенту по медицинским показаниям (индивидуальная непереносимость, по жизненным показаниям) по решению врачебной комиссии, которое фиксируется в медицинской документации пациента и журнале врачебной комиссии. Перечень указанных медицинских изделий, специализированных продуктов лечебного питания и порядок его формирования утверждаются Правительством Российской Федерации.</w:t>
      </w:r>
    </w:p>
    <w:p>
      <w:r>
        <w:t>При составлении описания объекта закупки Заказчики обязаны использовать показатели, требования, условные обозначения и терминологию, касающиеся технических характеристик, функциональных характеристик (потребительских свойств) товара, работы, услуги и качественных характеристик объекта закупки, которые предусмотрены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иных требований, связанных с определением соответствия поставляемого товара, выполняемой работы, оказываемой услуги потребностям заказчика.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условные обозначения и терминология, в таком описании должно содержаться обоснование необходимости использования других показателей, требований, условных обозначений и терминологии.</w:t>
      </w:r>
    </w:p>
    <w:p>
      <w:r>
        <w:t>В силу ч. 2 ст. 33 Закона о контрактной системе описание объекта закупки в соответствии с требованиями, указанными в ч. 1 настоящей статьи, должно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 и (или) значения показателей, которые не могут изменяться.</w:t>
      </w:r>
    </w:p>
    <w:p>
      <w:r>
        <w:t>Частью 3 ст. 33 Закона о контрактной системе установлено, что не допускается включение в описание объекта закупки (в том числе в форме требований к качеству, техническим характеристикам товара, работы или услуги, требований к функциональным характеристикам (потребительским свойствам) товара) требований к производителю товара, к участнику закупки (в том числе требования к квалификации участника закупки, включая наличие опыта работы), а также требования к деловой репутации участника закупки, требования к наличию у него производственных мощностей, технологического оборудования, трудовых, финансовых и других ресурсов, необходимых для производства товара, поставка которого является предметом контракта, для выполнения работы или оказания услуги, являющихся предметом контракта, за исключением случаев, если возможность установления таких требований к участнику закупки предусмотрена настоящим Федеральным законом.</w:t>
      </w:r>
    </w:p>
    <w:p>
      <w:r>
        <w:t>Положения частей 1 и 3 статьи 33 Закона о контрактной системе, имеющие универсальный характер, возлагают на Заказчика обязанность формировать извещение и описание объекта закупки таким образом, чтобы исключить любые ограничения числа участников закупки, не обусловленные необходимостью обеспечения государственных или муниципальных нужд. Прямое предписание Закона заключается в запрете включения в извещение и документацию требований, создающих преимущества для конкретных участников рынка или ограничивающих доступ потенциальных поставщиков к закупочной процедуре, в частности, путём установления требований, не основанных на действующем законодательстве. Эти положения прямо коррелируют с принципом обеспечения конкуренции, закреплённым в статье 8 Закона о контрактной системе, согласно которому каждому заинтересованному лицу должна быть обеспечена возможность стать исполнителем контракта, а Заказчику запрещается необоснованно сужать число возможных участников.</w:t>
      </w:r>
    </w:p>
    <w:p>
      <w:r>
        <w:t>При формировании описания объекта закупки Заказчику предоставлены определённые полномочия по конкретизации характеристик закупаемых товаров, работ или услуг, направленные на удовлетворение его объективных потребностей.</w:t>
      </w:r>
    </w:p>
    <w:p>
      <w:r>
        <w:t>Вместе с тем, как следует из системного и буквального толкования статей 8, 19 и 33 Закона о контрактной системе, такая детализация должна быть разумной, соразмерной, основанной на нормах федерального законодательства и не должна носить произвольного, ограничительного характера.</w:t>
      </w:r>
    </w:p>
    <w:p>
      <w:pPr>
        <w:pStyle w:val="Heading2"/>
      </w:pPr>
      <w:r>
        <w:t>резолютивная часть</w:t>
      </w:r>
    </w:p>
    <w:p>
      <w:r>
        <w:t>Часть 1.1 статьи 33 Закона о контрактной системе предписывает при описании товара, в отношении которого в соответствии со статьёй 14 Закона о контрактной системе установлен запрет, ограничение либо предоставлено преимущество, формулировать требования через характеристики товара российского происхождения.</w:t>
      </w:r>
    </w:p>
    <w:p>
      <w:r>
        <w:t>Системное толкование указанной нормы в единстве с частями 1 и 2 статьи 8 того же Закона означает, что законодатель возлагает на Заказчика обязанность описывать предмет закупки через потребительские, функциональные и эксплуатационные свойства продукта, достижимые и проверяемые применительно к товарам, происходящим из Российской Федерации, не превращая описание в указание на конкретный зарубежный стандарт либо на конкретную технологию как единственно возможный способ подтверждения качества.</w:t>
      </w:r>
    </w:p>
    <w:p>
      <w:r>
        <w:t>Таким образом, по смыслу статей 8, 14, 33 и 42 Закона о контрактной системе описание объекта закупки должно служить цели обеспечения государственных нужд при безусловном соблюдении принципов конкуренции и технологической нейтральности.</w:t>
      </w:r>
    </w:p>
    <w:p>
      <w:r>
        <w:t>Норма части 1 статьи 33 Закона о контрактной системе возлагает на Заказчика обязанность формулировать функциональные, технические, качественные и (при необходимости) эксплуатационные характеристики предмета закупки, опираясь на документы национальной системы стандартизации; отступление от стандарта допустимо только при надлежащем и проверяемом обосновании такой необходимости.</w:t>
      </w:r>
    </w:p>
    <w:p>
      <w:r>
        <w:t>Правовое регулирование спорных отношений предопределено пунктом 1 части 2 статьи 42 Закона о контрактной системе, требующим, чтобы извещение содержало описание объекта закупки, составленное в строгом соответствии со статьёй 33 и не приводящее к ограничению конкуренции.</w:t>
      </w:r>
    </w:p>
    <w:p>
      <w:r>
        <w:t>По смыслу частей 1 и 2 статьи 33 описание объекта закупки должно строиться через функциональные, технические и качественные (при необходимости - эксплуатационные) характеристики, выраженные в проверяемых и измеряемых показателях, достаточных для надёжной идентификации потребности и объективного сопоставления предложений, с использованием показателей и терминологии, предусмотренных техническими регламентами и документами национальной системы стандартизации; отклонение от этих ориентиров допустимо лишь при наличии ясного и документально выраженного обоснования.</w:t>
      </w:r>
    </w:p>
    <w:p>
      <w:r>
        <w:t>Часть 3 статьи 33 Закона о контрактной системе прямо запрещает включать в описание требования, не относящиеся к свойствам товара и создающие необоснованные барьеры участия. Эти предписания соотносятся с принципом обеспечения конкуренции (статья 8), в силу которого Заказчик не вправе формировать условия закупки таким образом, чтобы искусственно сузить число потенциальных поставщиков вне разумной и доказанной потребности.</w:t>
      </w:r>
    </w:p>
    <w:p>
      <w:r>
        <w:t>Исследование извещения и представленных материалов свидетельствует, что Заказчик, ссылаясь на цели обеспечения «контроля целостности перчатки и своевременной индикации прокола», зафиксировал в обязательном порядке «двухслойную» конструкцию и специальную цветовую схему слоёв, не раскрыв, почему достижение заявленного функционального результата невозможно иными, технологически эквивалентными решениями, и не указав источников национальной стандартизации, предписывающих именно такую конструктивно-дизайнерскую конфигурацию. Аналогично, требование «анатомической формы» с повторяющимися кольцевыми расширениями в области суставов пальцев сформулировано декларативно, без установления проверяемых параметров (мест, размеров, допусков), что исключает однозначную идентификацию предмета и создаёт риск произвольной оценки соответствия на стадии рассмотрения заявок и при приёмке. Кроме того, узкий коридор длины перчатки «≥ 400 ≤ 420 мм» задан вне привязки к унифицированным методам измерения и без демонстрации того, что меньшие либо большие значения объективно не отвечают целям заказчика; по существу речь идёт о закрывающем рынке «пороговом» параметре, не подтверждённом необходимостью и не соразмерном цели закупки. Указанные обстоятельства корреспондируют доводам Заявителя о том, что Заказчик не опирался на обязательные для применения подходы национальной стандартизации и не обосновал введение дополнительных требований при отсутствии таких в позиции КТРУ, - в извещении отсутствует мотивированное объяснение выбора именно этих признаков, тогда как сам по себе факт, что позиция КТРУ допускает детализацию, не освобождает Заказчика от бремени доказать её функциональную и технологическую неизбежность.</w:t>
      </w:r>
    </w:p>
    <w:p>
      <w:r>
        <w:t>Давая правовую оценку, Комиссия УФАС исходит из системного и буквального толкования статей 8 и 33 Закона о контрактной системе: детализация допустима постольку, поскольку она, во-первых, выражена в объективных и проверяемых показателях, во-вторых, соразмерна цели закупки и, в-третьих, не подменяет описание потребительских свойств товарными решениями отдельных линеек продукции. Навязывание конкретной конфигурации слоёв и их цветов, особой геометрии пальцев и жёсткого «коридора» длины, при отсутствии убедительного технико-нормативного обоснования и измерительной базы, трансформирует описание объекта закупки из инструмента объективного сравнения в фильтр, отсекающий часть добросовестных производителей и поставщиков. Такая практика противоречит природе статьи 33 Закона о контрактной системе, которая требует задавать результат (функционально значимые свойства и уровни их достижения), а не предписывать участнику единственный путь его достижения.</w:t>
      </w:r>
    </w:p>
    <w:p>
      <w:r>
        <w:t>При указанных обстоятельствах Комиссия УФАС приходит к выводу о наличии в действиях Заказчика нарушения пункта 1 части 2 статьи 42 Закона о контрактной системе, выразившегося в формировании описания объекта закупки с отступлением от требований статьи 33 Закона о контрактной системе: путем включения избыточных, не измеренных и не обоснованных характеристик, не подтверждённых документами национальной системы стандартизации и очевидной производственной необходимостью, что привело к необоснованному ограничению конкуренции.</w:t>
      </w:r>
    </w:p>
    <w:p>
      <w:r>
        <w:t>Принимая во внимание ранее выданное Заказчику предписание, Комиссия УФАС приходит к выводу об отсутствии оснований для повторной выдачи предписания об устранении выявленного нарушения.</w:t>
      </w:r>
    </w:p>
    <w:p>
      <w:r>
        <w:t>Комиссия УФАС, руководствуясь ст. 42, 43, 48, 99, 106 Закона о контрактной системе,</w:t>
      </w:r>
    </w:p>
    <w:p>
      <w:r>
        <w:t>РЕШИЛА:</w:t>
      </w:r>
    </w:p>
    <w:p>
      <w:r>
        <w:t>1. Признать жалобу ООО "ГАРАНТ-М" обоснованной.</w:t>
      </w:r>
    </w:p>
    <w:p>
      <w:r>
        <w:t>2. Признать в действиях Заказчика нарушение пункта 1 части 2 статьи 42 Закона о контрактной системе.</w:t>
      </w:r>
    </w:p>
    <w:p>
      <w:r>
        <w:t>3. Предписание об устранении выявленного нарушения Закона о контрактной системе не выдавать.</w:t>
      </w:r>
    </w:p>
    <w:p>
      <w:r>
        <w:t>4. Передать соответствующему должностному лицу Санкт-Петербургского УФАС России материалы от 03.10.2025 по делу № 078/06/105-2673/2025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