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202500114959013853</w:t>
      </w:r>
    </w:p>
    <w:p>
      <w:r>
        <w:rPr>
          <w:b/>
        </w:rPr>
        <w:t xml:space="preserve">УФАС: </w:t>
      </w:r>
      <w:r>
        <w:t>УФАС по Санкт-Петербургу</w:t>
      </w:r>
    </w:p>
    <w:p>
      <w:r>
        <w:rPr>
          <w:b/>
        </w:rPr>
        <w:t xml:space="preserve">Дата решения: </w:t>
      </w:r>
      <w:r>
        <w:t>16.10.2025</w:t>
      </w:r>
    </w:p>
    <w:p>
      <w:r>
        <w:rPr>
          <w:b/>
        </w:rPr>
        <w:t xml:space="preserve">Исход: </w:t>
      </w:r>
      <w:r>
        <w:t>обоснована</w:t>
      </w:r>
    </w:p>
    <w:p>
      <w:r>
        <w:rPr>
          <w:b/>
        </w:rPr>
        <w:t xml:space="preserve">Закупка №: </w:t>
      </w:r>
      <w:r>
        <w:t>0372100037025000035</w:t>
      </w:r>
    </w:p>
    <w:p>
      <w:r>
        <w:rPr>
          <w:b/>
        </w:rPr>
        <w:t xml:space="preserve">Заказчик: </w:t>
      </w:r>
      <w:r>
        <w:t>Федеральное государственное бюджетное образовательное учреждение высшего образования «Национальный государственный университет физической культуры, спорта и здоровья имени П.Ф. Лесгафта, Санкт-Петербург»</w:t>
      </w:r>
    </w:p>
    <w:p>
      <w:r>
        <w:rPr>
          <w:b/>
        </w:rPr>
        <w:t xml:space="preserve">Заявитель: </w:t>
      </w:r>
      <w:r>
        <w:t>ООО «ДАР инжиниринг»</w:t>
      </w:r>
    </w:p>
    <w:p>
      <w:r>
        <w:rPr>
          <w:b/>
        </w:rPr>
        <w:t xml:space="preserve">Первоисточник в ЕИС: </w:t>
      </w:r>
      <w:r>
        <w:t>https://zakupki.gov.ru/epz/complaint/card/complaint-information.html?complaintNumber=202500114959013853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ФГБОУ ВО «Национальный государственный университет физической культуры, спорта и здоровья им. П.Ф. Лесгафта, Санкт-Петербург»</w:t>
              <w:br/>
              <w:t>ул. Декабристов, д. 35, к. лит. О,</w:t>
              <w:br/>
              <w:t>Санкт-Петербург, 190121</w:t>
              <w:br/>
              <w:t>АО «Агентство по государственному заказу РТ»</w:t>
              <w:br/>
              <w:t>ул. Московская, д. 55,</w:t>
              <w:br/>
              <w:t>Казань, 420021</w:t>
              <w:br/>
              <w:t>ООО «ДАР ИНЖИНИРИНГ»</w:t>
              <w:br/>
              <w:t>ул. Фатыха Амирхана, д. 25, этаж 1,</w:t>
              <w:br/>
              <w:t>г. Казань, Республика Татарстан, 420103</w:t>
            </w:r>
          </w:p>
        </w:tc>
      </w:tr>
    </w:tbl>
    <w:p>
      <w:r>
        <w:t>РЕШЕНИЕ по делу № 078/06/105-2834/2025</w:t>
      </w:r>
    </w:p>
    <w:p>
      <w:r>
        <w:t>о нарушении законодательства о контрактной системе</w:t>
      </w:r>
    </w:p>
    <w:p>
      <w:r>
        <w:t>16.10.2025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ФГБОУ ВО «Национальный государственный университет физической культуры, спорта и здоровья им. П.Ф. Лесгафта, Санкт-Петербург» (далее – Заявитель):</w:t>
      </w:r>
    </w:p>
    <w:p>
      <w:r>
        <w:t>ООО «ДАР ИНЖИНИРИНГ» (далее – Заказчик):</w:t>
      </w:r>
    </w:p>
    <w:p>
      <w:pPr>
        <w:pStyle w:val="Heading2"/>
      </w:pPr>
      <w:r>
        <w:t>описательная часть</w:t>
      </w:r>
    </w:p>
    <w:p>
      <w:r>
        <w:t>рассмотрев посредством системы видеоконференцсвязи жалобу Заявителя (вх. № 24664/25 от 13.10.2025) на действия Заказчика при определении (подрядчика, исполнителя) путем проведения открытого конкурса в электронной форме на выполнение инженерных изысканий, подготовку проектной документации для капитального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 здания кафедры бокса по адресу г. Санкт-Петербург, Никольская площадь, д. 1, лит. А (извещение № 0372100037025000035)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Заказчиком 19.09.2025 на Официальном сайте единой информационной системы в информационно-телекоммуникационной сети «Интернет» в сфере закупок www.zakupki.gov.ru (далее – Официальный сайт, ЕИС) размещено извещение о проведении Конкурса.</w:t>
      </w:r>
    </w:p>
    <w:p>
      <w:r>
        <w:t>Начальная (максимальная) цена контракта – 18 457 400,00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 неправомерной оценке его заявки по детализирующему показателю «характеристика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Также жалоба Заявителя содержит указание на неправомерные действия оператора электронной торговой площадки.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имеющиеся документы подтверждают следующие обстоятельства.</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на Официальном сайте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соответствии с п. 4 ч. 2 ст. 42 Закона о контрактной системе извещение об осуществлении закупки, если иное не предусмотрено Законом о контрактной системе, должно содержать электронные документы, содержащие порядок рассмотрения и оценки заявок на участие в конкурсах в соответствии с Законом о контрактной системе.</w:t>
      </w:r>
    </w:p>
    <w:p>
      <w:r>
        <w:t>Частью 1 ст. 32 Закона о контрактной системе установлено, что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ст. 32 Закона о контрактной системе.</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 (п. 3 Положения).</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Согласно п. 8 Положения в случае применения показателей оценки по критериям оценки, предусмотренным пп. «в» и «г» п.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17 Положения об оценки заявок для оценки заявок по показателям оценки, предусмотренным п. 16 Положения об оценке заявок, применяются детализирующие показатели, предусматривающие оценку различных характеристик, образующих такие показатели оценки.</w:t>
      </w:r>
    </w:p>
    <w:p>
      <w:r>
        <w:t>Пунктом 19 Положения об оценки заявок установлено, что, 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Положению об оценке заявок, устанавливается перечень свойств объекта закупки, подлежащих оценке.</w:t>
      </w:r>
    </w:p>
    <w:p>
      <w:r>
        <w:t>В соответствии с п. 22 и п. 23 Положения об оценке заявок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Законом о контрактной системе оценке по критерию оценки «характеристики объекта закупки», по шкале оценки. При этом документом, предусмотренным приложением № 1 к Положению об оценке заявок,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 В данном случае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Как установлено ч. 5.1 ст. 106 Закона о контрактной системе представление информации и документов, предусмотренных ч. 5 ст. 106 Закона о контрактной системе, не требуется в случае их размещения в соответствии с Законом о контрактной системе на официальном сайте. При этом, если информация и документы, предусмотренные ч. 5 ст. 106 Закона о контрактной системе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
        <w:t>В соответствии с извещением о проведении закупки Заказчиком для оценки заявок участников закупки использован, в том числе, критерий «Качественные, функциональные и экологические характеристики объекта закупки».</w:t>
      </w:r>
    </w:p>
    <w:p>
      <w:r>
        <w:t>Согласно электронным документам к извещению о проведении закупки показателем названного критерия является «Качественные характеристики объекта закупки».</w:t>
      </w:r>
    </w:p>
    <w:p>
      <w:r>
        <w:t>В Приложении № 4 к Извещению о проведении конкурса в электронной форме Заказчиком установлен следующий порядок оценки заявок на участие в рассматриваемой части:</w:t>
      </w:r>
    </w:p>
    <w:tbl>
      <w:tblPr>
        <w:tblStyle w:val="TableGrid"/>
        <w:tblW w:type="auto" w:w="0"/>
        <w:tblLook w:firstColumn="1" w:firstRow="1" w:lastColumn="0" w:lastRow="0" w:noHBand="0" w:noVBand="1" w:val="04A0"/>
      </w:tblPr>
      <w:tblGrid>
        <w:gridCol w:w="2880"/>
        <w:gridCol w:w="2880"/>
        <w:gridCol w:w="2880"/>
      </w:tblGrid>
      <w:tr>
        <w:tc>
          <w:tcPr>
            <w:tcW w:type="dxa" w:w="2880"/>
          </w:tcPr>
          <w:p>
            <w:r>
              <w:t>характеристика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w:t>
            </w:r>
          </w:p>
        </w:tc>
        <w:tc>
          <w:tcPr>
            <w:tcW w:type="dxa" w:w="2880"/>
          </w:tcPr>
          <w:p>
            <w:r>
              <w:t>Для оценки по характеристике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осуществление своевременного контроля качества выполнения работ; оснащение квалифицированного персонала участника закупки надлежащим оборудованием, инструментами и иными необходимыми средствами; обеспечение надлежащей технологии управления системой качества; обеспечение надлежащей технологии выполнения работ.</w:t>
              <w:br/>
              <w:t>Оценка заявки участника по детализирующей характеристике N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br/>
              <w:t>Под обеспечением надлежащей технологии выполнения работ (второе свойство) понимаются совокупность методов для достижения желаемого результата в рамках исполнения государственного контракта (далее - контракт), на право заключения которого проводится настоящий конкурс, включая последовательность действий при выполнении работ по контракту, на право заключения которого проводится настоящий конкурс, мероприятия по охране труда.</w:t>
              <w:br/>
              <w:t>Под осуществлением своевременного контроля качества выполнения работ (третье свойство) понимаются методы, направленные на контроль качества результата выполненных работ, методы контроля за устранением недостатков при выполнении работ, указанных заказчиком, и методы контроля за действиями непосредственных исполнителей (подрядчиков).</w:t>
              <w:br/>
              <w:t>Под оснащением квалифицированного персонала участника закупки надлежащим оборудованием, инструментами и иными необходимыми средствами (четвертое свойство) понимается совокупность оборудования, инструментов и иных необходимых средств, используемых непосредственными исполнителями (подрядчиками) при выполнении работ, с указанием по каждому такому оборудованию, инструменту и иному необходимому средству в отдельности: наименования, количества, марки, модели (при наличии), реквизитов документов, подтверждающих соответствие установленным обязательным требованиям в соответствии с действующим законодательством РФ (при необходимости в соответствии с действующим законодательством РФ), минимальных характеристик и пояснений, позволяющих четко определить сферу их применения в процессе выполнения соответствующих работ.</w:t>
              <w:br/>
              <w:t>Под обеспечением надлежащей технологии управления системой качества (первое свойство) понимается перечень сведений, содержащий в том числе следующую информацию: информацию об основных функциях управления системой качества; информацию о лицах ответственных за обеспечение охраны труда, в том числе перечень обязанностей, возлагаемых на указанных лиц; информацию об основных направлениях в области охрана труда в организации; информацию об обязательствах для достижения целей в области охраны труда.</w:t>
              <w:b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b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br/>
              <w:t>Описание свойств объекта закупки должно быть конкретным, однозначным и не должно допускать двусмысленных толкований, содержать следующих слов и словосочетаний в любом роде, числе и падеже, а также с частицей “не”: «возможно», «вероятно», «должен», «должен быть», «обязан», «запрещается», «необходимо», «не допускается» (данные слова и словосочетания должно быть заменены участником на другое слово/словосочетание, исключающее двоякое толкование представленной информации – например: «отсутствует»).</w:t>
              <w:b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 В случае, если участником закупки указывается, что все работы будут выполнены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br/>
              <w:t>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w:t>
              <w:br/>
              <w:t>Значение количества баллов по характеристике N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br/>
              <w:t>Значение детализирующего показателя - характеристики N 1 (качество товаров (работ, услуг)) показателя «качественные характеристики объекта закупки»</w:t>
            </w:r>
          </w:p>
        </w:tc>
        <w:tc>
          <w:tcPr>
            <w:tcW w:type="dxa" w:w="2880"/>
          </w:tcPr>
          <w:p>
            <w:r>
              <w:t>Количество присваиваемых баллов</w:t>
            </w:r>
          </w:p>
        </w:tc>
      </w:tr>
      <w:tr>
        <w:tc>
          <w:tcPr>
            <w:tcW w:type="dxa" w:w="2880"/>
          </w:tcPr>
          <w:p>
            <w:r>
              <w:t>Предложение о наличии характеристики объекта закупки</w:t>
            </w:r>
          </w:p>
        </w:tc>
        <w:tc>
          <w:tcPr>
            <w:tcW w:type="dxa" w:w="2880"/>
          </w:tcPr>
          <w:p>
            <w:r>
              <w:t>100 баллов</w:t>
            </w:r>
          </w:p>
        </w:tc>
        <w:tc>
          <w:tcPr>
            <w:tcW w:type="dxa" w:w="2880"/>
          </w:tcPr>
          <w:p/>
        </w:tc>
      </w:tr>
      <w:tr>
        <w:tc>
          <w:tcPr>
            <w:tcW w:type="dxa" w:w="2880"/>
          </w:tcPr>
          <w:p>
            <w:r>
              <w:t>Предложение об отсутствии характеристики объекта закупки</w:t>
            </w:r>
          </w:p>
        </w:tc>
        <w:tc>
          <w:tcPr>
            <w:tcW w:type="dxa" w:w="2880"/>
          </w:tcPr>
          <w:p>
            <w:r>
              <w:t>0 баллов</w:t>
            </w:r>
          </w:p>
        </w:tc>
        <w:tc>
          <w:tcPr>
            <w:tcW w:type="dxa" w:w="2880"/>
          </w:tcPr>
          <w:p/>
        </w:tc>
      </w:tr>
    </w:tbl>
    <w:p>
      <w:r>
        <w:t>В силу п. 1 ч. 2 ст. 105 Закона о контрактной системе, жалоб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w:t>
      </w:r>
    </w:p>
    <w:p>
      <w:r>
        <w:t>Заявитель данным правом не воспользовался, жалоб на положения извещения о проведении закупки в рассматриваемой части не подавал.</w:t>
      </w:r>
    </w:p>
    <w:p>
      <w:r>
        <w:t>В силу ч. 3 ст. 48 Закона о контрактной системе не позднее двух рабочих дней (за исключением случая, предусмотренного ч. 4 ст. 48 Закона о контрактной системе)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п.п. 2 и 3 ч. 1 ст. 32 Закона о контрактной системе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Закона о контрактной системе, извещения об осуществлении закупки, которым не соответствует такая заявка, положений заявки на участие в закупке, которые не соответствуют Закону о контрактной системе,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Закона о контрактной системе.</w:t>
      </w:r>
    </w:p>
    <w:p>
      <w:r>
        <w:t>Согласно протоколу рассмотрения и оценки первых частей заявок на участие в открытом конкурсе в электронной форме, по итогам рассмотрения и оценки первых частей заявок на участие в открытом конкурсе заявка Заявителя была оценена в 0 баллов, поскольку надлежащее описание «осуществления своевременного контроля качества выполнения работ» не было представлено.</w:t>
      </w:r>
    </w:p>
    <w:p>
      <w:r>
        <w:t>Вместе с тем по результатам проведенного Комиссией УФАС анализа заявки Заявителя установлено, что сведения, представленные в отношении свойства объекта закупки «осуществление своевременного контроля качества выполнения работ», содержат всю необходимую информацию, что исключает возможность не начисления комиссией Заказчика 100 баллов по указанному критерию.</w:t>
      </w:r>
    </w:p>
    <w:p>
      <w:pPr>
        <w:pStyle w:val="Heading2"/>
      </w:pPr>
      <w:r>
        <w:t>мотивировочная часть</w:t>
      </w:r>
    </w:p>
    <w:p>
      <w:r>
        <w:t>При установленных обстоятельствах Комиссия УФАС приходит к выводу, что в действиях Заказчика усматривается нарушение пп. «б» п. 1 ч. 3 ст. 48 Закона о контрактной системе.</w:t>
      </w:r>
    </w:p>
    <w:p>
      <w:r>
        <w:t>Относительно второго довода Заявителя, указанного в жалобе, о неправомерных действиях оператора электронной торговой площадки, выразившихся в предоставлении участнику закупки с идентификационным номером № 77689 доступа к конфиденциальной информации о ценовых предложениях других участников либо о наличии признаков сговора между участниками торгов, Комиссия УФАС вынуждена сообщить, что согласно п. 1.4 Приказа ФАС России № 955/15 от 13.10.2015 «О координации деятельности центрального аппарата ФАС России и территориальных органов ФАС России при осуществлении контроля в сфере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а также при осуществлении полномочий по ведению реестра недобросовестных поставщиков (подрядчиков, исполнителей)», территориальные управления ФАС России не наделены полномочиями по рассмотрению и оценке доводов, касающихся нарушений оператором электронной торговой площадки требований законодательства.</w:t>
      </w:r>
    </w:p>
    <w:p>
      <w:r>
        <w:t>При этом в результате проведения внеплановой проверки на основании п. 1 ч. 15 ст. 99 Закона о контрактной системе были установлены следующие обстоятельства.</w:t>
      </w:r>
    </w:p>
    <w:p>
      <w:r>
        <w:t>В предусмотренном извещением о проведении закупки порядке оценки заявок Заказчиком установлено условие необходимости предоставления сведений по охране труда по критерию «качественные, функциональные и экологические характеристики объекта закупки».</w:t>
      </w:r>
    </w:p>
    <w:p>
      <w:r>
        <w:t>Вместе с тем Комиссия УФАС считает, что характеристика критерия не отражает свойства объекта закупки, поскольку условие выполнения работ «информацию о лицах ответственных за обеспечение охраны труда, в том числе перечень обязанностей, возлагаемых на указанных лиц; информацию об основных направлениях в области охрана труда в организации; информацию об обязательствах для достижения целей в области охраны труда» не соотносится с определенным перечнем свойств, установленных в требованиях к выполнению работ, содержащихся в Техническом задании конкурса.</w:t>
      </w:r>
    </w:p>
    <w:p>
      <w:r>
        <w:t>На основании вышеизложенного, Комиссия УФАС приходит к выводу, что действия Заказчика, ненадлежащим образом установившего Порядок оценки, нарушают п. 4 ч. 2 ст. 42 Закона о контрактной системе.</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«ДАР ИНЖИНИРИНГ» обоснованной.</w:t>
      </w:r>
    </w:p>
    <w:p>
      <w:r>
        <w:t>2. Признать в действиях Заказчика нарушение п. 4 ч. 2 ст. 42 Закона о контрактной системе.</w:t>
      </w:r>
    </w:p>
    <w:p>
      <w:r>
        <w:t>3. Предписание об устранении выявленных нарушений не выдавать в связи с его выдачей по ранее рассмотренному делу № 078/06/105-2833/2025.</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tbl>
      <w:tblPr>
        <w:tblStyle w:val="TableGrid"/>
        <w:tblW w:type="auto" w:w="0"/>
        <w:tblLook w:firstColumn="1" w:firstRow="1" w:lastColumn="0" w:lastRow="0" w:noHBand="0" w:noVBand="1" w:val="04A0"/>
      </w:tblPr>
      <w:tblGrid>
        <w:gridCol w:w="2880"/>
        <w:gridCol w:w="2880"/>
        <w:gridCol w:w="2880"/>
      </w:tblGrid>
      <w:tr>
        <w:tc>
          <w:tcPr>
            <w:tcW w:type="dxa" w:w="2880"/>
          </w:tcPr>
          <w:p>
            <w:r>
              <w:t>Заместитель председателя Комиссии УФАС</w:t>
            </w:r>
          </w:p>
        </w:tc>
        <w:tc>
          <w:tcPr>
            <w:tcW w:type="dxa" w:w="2880"/>
          </w:tcPr>
          <w:p>
            <w:r/>
          </w:p>
        </w:tc>
        <w:tc>
          <w:tcPr>
            <w:tcW w:type="dxa" w:w="2880"/>
          </w:tcPr>
          <w:p>
            <w:r/>
          </w:p>
        </w:tc>
      </w:tr>
      <w:tr>
        <w:tc>
          <w:tcPr>
            <w:tcW w:type="dxa" w:w="2880"/>
          </w:tcPr>
          <w:p>
            <w:r>
              <w:t>Члены Комиссии УФАС</w:t>
            </w:r>
          </w:p>
        </w:tc>
        <w:tc>
          <w:tcPr>
            <w:tcW w:type="dxa" w:w="2880"/>
          </w:tcPr>
          <w:p>
            <w:r/>
          </w:p>
        </w:tc>
        <w:tc>
          <w:tcPr>
            <w:tcW w:type="dxa" w:w="2880"/>
          </w:tcPr>
          <w:p>
            <w:r/>
          </w:p>
        </w:tc>
      </w:tr>
    </w:tbl>
    <w:p>
      <w:r>
        <w:t>Настоящее решение может быть обжаловано в судебном порядке в течение трёх месяцев со дня принятия.</w:t>
      </w:r>
    </w:p>
    <w:p>
      <w:r>
        <w:t>9</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