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202500114959013975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20.10.2025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0372500005325000163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«Ленсвет»</w:t>
      </w:r>
    </w:p>
    <w:p>
      <w:r>
        <w:rPr>
          <w:b/>
        </w:rPr>
        <w:t xml:space="preserve">Заявитель: </w:t>
      </w:r>
      <w:r>
        <w:t>ООО «Просервис»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https://zakupki.gov.ru/epz/complaint/card/complaint-information.html?complaintNumber=202500114959013975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 «Ленсвет»</w:t>
              <w:br/>
              <w:t>пр. Вознесенский, д. 25, лит. А, помещ. 5-Н,</w:t>
              <w:br/>
              <w:t>Санкт-Петербург, 190068</w:t>
              <w:br/>
              <w:t>АО «ЕЭТП»</w:t>
              <w:br/>
              <w:t>проспект 60-я Октября, д. 9,</w:t>
              <w:br/>
              <w:t>Москва, 117312</w:t>
              <w:br/>
              <w:t>ООО «ПРОСЕРВИС»</w:t>
              <w:br/>
              <w:t>ул. Поперечно-центральная, д. 6, кв. 11,</w:t>
              <w:br/>
              <w:t>г. Казань, Республика Татарстан, 420097</w:t>
            </w:r>
          </w:p>
        </w:tc>
      </w:tr>
    </w:tbl>
    <w:p>
      <w:r>
        <w:t>РЕШЕНИЕ</w:t>
      </w:r>
    </w:p>
    <w:p>
      <w:r>
        <w:t>по делу № 078/06/105-2878/2025</w:t>
      </w:r>
    </w:p>
    <w:p>
      <w:r>
        <w:t>о нарушении законодательства о контрактной системе</w:t>
      </w:r>
    </w:p>
    <w:p>
      <w:r>
        <w:t>21.10.2025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 «Ленсвет» (далее – Заказчик):</w:t>
      </w:r>
    </w:p>
    <w:p>
      <w:r>
        <w:t>СПб ГКУ «Управление заказчика» (далее – Организатор торгов):</w:t>
      </w:r>
    </w:p>
    <w:p>
      <w:r>
        <w:t>ООО «ПРОСЕРВИС»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24941/25 от 15.10.2025) на действия Заказчика при определении (подрядчика, исполнителя) путем проведения электронного аукциона на поставку расходных материалов для оргтехники (извещение № 0372500005325000163)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Заказчиком 09.10.2025 на Официальном сайте единой информационной системы в информационно-телекоммуникационной сети «Интернет» в сфере закупок www.zakupki.gov.ru (далее – Официальный сайт, ЕИС) размещено извещение о проведении Аукциона.</w:t>
      </w:r>
    </w:p>
    <w:p>
      <w:r>
        <w:t>Начальная (максимальная) цена контракта – 4 900 650,00 рублей.</w:t>
      </w:r>
    </w:p>
    <w:p>
      <w:r>
        <w:t>В жалобе Заявитель указывает на неправомерные действия Заказчика, выразившиеся, по мнению Заявителя, в неправомерном формировании объекта закупки. Заявитель считает, что Заказчик неправомерно установил требование о поставке оригинальных расходных материалов без возможности поставки эквивалентной продукции (уникальные товары единственного производителя).</w:t>
      </w:r>
    </w:p>
    <w:p>
      <w:r>
        <w:t>Согласно представленным в порядке ч. 1 ст. 106 Закона о контрактной системе возражениям, Заказчик с доводами жалобы не согласен и считает ее необоснованной.</w:t>
      </w:r>
    </w:p>
    <w:p>
      <w:r>
        <w:t>Однако информация, изложенная в жалобе, пояснения представителей сторон, представленные документы подтверждают следующие обстоятельства.</w:t>
      </w:r>
    </w:p>
    <w:p>
      <w:r>
        <w:t>В соответствии с ч. 1 ст. 49 Закона о контрактной системе, электронный аукцион начинается с размещения в единой информационной системе извещения об осуществлении закупки.</w:t>
      </w:r>
    </w:p>
    <w:p>
      <w:r>
        <w:t>В силу п. 1 ч. 2 ст. 42 Закона о контрактной системе извещение об осуществлении закупки, если иное не предусмотрено Законом о контрактной системе, должно содержать описание объекта закупки в соответствии со ст. 33 Закона о контрактной системе.</w:t>
      </w:r>
    </w:p>
    <w:p>
      <w:r>
        <w:t>В силу п.п. 1, 2 ч. 1 ст. 33 Закона о контрактной системе заказчик в случаях, предусмотренных Законом о контрактной системе,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ст. 33 Закона о контрактной системе,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необходимы, с другой стороны, описание объекта закупки не должно необоснованно ограничивать количество участников закупки.</w:t>
      </w:r>
    </w:p>
    <w:p>
      <w:r>
        <w:t>Изучение содержания Приложения № 1 к Извещению об осуществлении закупки показало, что Заказчиком предусмотрены позиции оригинальных картриджей для электрографических печатающих устройств в связи с необходимостью обеспечения их полной технической совместимости с уже используемым Заказчиком оборудованием, а также необходимостью сохранения условий гарантийного обслуживания указанной техники.</w:t>
      </w:r>
    </w:p>
    <w:p>
      <w:r>
        <w:t>Заказчик на заседание Комиссии УФАС в обоснование содержащихся требований представил следующие документы: уведомление СПб ГКУ «УИТС» от 28.06.2024 об использовании оригинальных материалов в печатных устройствах с приложением писем производителей печатной техники: ООО «КАТЮША ПРИНТ», PANTUM INTERNATIONAL LIMITED, подтверждающих недопустимость использования неоригинальных расходных материалов в печатных устройствах, поставляемых в рамках исполнения контрактов; письма ООО «Шарп Электроникс Раша» и ООО «Канон Ру» об использовании оригинальных расходных материалов; Гарантийный талон № 278 от 17.06.2024 на МФУ торговых марок PANTUM и SHARP и Гарантийное письмо ИП Ступенькова М.В. о продлении гарантийного срока до 31.12.2025 на товар/услуги Canon image PROGRAF TM-300 (3058C003) в соответствии с условиями контракта № 71-24/08/Э от 09.04.2024.</w:t>
      </w:r>
    </w:p>
    <w:p>
      <w:r>
        <w:t>Вместе с тем Комиссия УФАС считает необходимым отметить, что представленные документы не подтверждают в полной мере доводы Заказчика, поскольку письма ООО «Шарп Электроникс Раша» и ООО «Канон Ру» об использовании оригинальных расходных материалов носят рекомендательный характер, а Гарантийное письмо ИП Ступенькова М.В. о продлении гарантийного срока на МФУ торговой марки Canon не подтверждается сопутствующими необходимыми документами, в частности: самим контрактом, в рамках которого предоставлялась гарантия на МФУ, а также дополнительным соглашением к указанному контракту, на основании которого была продлена данная гарантия.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выводу, что позиция Заказчика о необходимости использования оригинальных картриджей в данных конкретных случаях документально не обоснована и противоречит нормам ст. 33 Закона о контрактной системе, допускающей указание на конкретный товарный знак или оригинальность при наличии объективного обоснования, в том числе для обеспечения совместимости и гарантийных условий использования оборудования.</w:t>
      </w:r>
    </w:p>
    <w:p>
      <w:r>
        <w:t>Учитывая изложенное, в действиях Заказчика усматривается нарушение требования п. 1 ч. 1 ст. 33 Закона о контрактной системе.</w:t>
      </w:r>
    </w:p>
    <w:p>
      <w:r>
        <w:t>Комиссия УФАС, руководствуясь ст.ст. 33, 42, 49,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«ПРОСЕРВИС» обоснованной.</w:t>
      </w:r>
    </w:p>
    <w:p>
      <w:r>
        <w:t>2. Признать в действиях Заказчика нарушение п. 1 ч. 1 ст. 33 Закона о контрактной системе.</w:t>
      </w:r>
    </w:p>
    <w:p>
      <w:r>
        <w:t>3. Выдать Заказчику, аукционной комиссии, оператору электронной торговой площадки предписание об устранении выявленного нарушения.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Заместитель председателя Комиссии УФАС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Члены Комиссии УФАС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