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202500114959014945</w:t>
      </w:r>
    </w:p>
    <w:p>
      <w:r>
        <w:rPr>
          <w:b/>
        </w:rPr>
        <w:t xml:space="preserve">УФАС: </w:t>
      </w:r>
      <w:r>
        <w:t>УФАС по Санкт-Петербургу</w:t>
      </w:r>
    </w:p>
    <w:p>
      <w:r>
        <w:rPr>
          <w:b/>
        </w:rPr>
        <w:t xml:space="preserve">Дата решения: </w:t>
      </w:r>
      <w:r>
        <w:t>12.11.2025</w:t>
      </w:r>
    </w:p>
    <w:p>
      <w:r>
        <w:rPr>
          <w:b/>
        </w:rPr>
        <w:t xml:space="preserve">Исход: </w:t>
      </w:r>
      <w:r>
        <w:t>обоснована</w:t>
      </w:r>
    </w:p>
    <w:p>
      <w:r>
        <w:rPr>
          <w:b/>
        </w:rPr>
        <w:t xml:space="preserve">Закупка №: </w:t>
      </w:r>
      <w:r>
        <w:t>0172200000725000340</w:t>
      </w:r>
    </w:p>
    <w:p>
      <w:r>
        <w:rPr>
          <w:b/>
        </w:rPr>
        <w:t xml:space="preserve">Заказчик: </w:t>
      </w:r>
      <w:r>
        <w:t>Администрация Красногвардейского района Санкт-Петербурга</w:t>
      </w:r>
    </w:p>
    <w:p>
      <w:r>
        <w:rPr>
          <w:b/>
        </w:rPr>
        <w:t xml:space="preserve">Заявитель: </w:t>
      </w:r>
      <w:r>
        <w:t>ООО «Охранная организация »Пеленг"</w:t>
      </w:r>
    </w:p>
    <w:p>
      <w:r>
        <w:rPr>
          <w:b/>
        </w:rPr>
        <w:t xml:space="preserve">Первоисточник в ЕИС: </w:t>
      </w:r>
      <w:r>
        <w:t>https://zakupki.gov.ru/epz/complaint/card/complaint-information.html?complaintNumber=202500114959014945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Красногвардейского района Санкт-Петербурга</w:t>
              <w:br/>
              <w:t>пр. Среднеохтинский, 50,</w:t>
              <w:br/>
              <w:t>Санкт-Петербург, 195027</w:t>
              <w:br/>
              <w:t>ГБУЗ «Городская поликлиника № 17»</w:t>
              <w:br/>
              <w:t>пр. Металлистов, д. 56, лит. А,</w:t>
              <w:br/>
              <w:t>Санкт-Петербург, 195176</w:t>
              <w:br/>
              <w:t>АО «РАД»</w:t>
              <w:br/>
              <w:t>Гривцова пер., д. 5, лит. В,</w:t>
              <w:br/>
              <w:t>Санкт-Петербург, 190000</w:t>
              <w:br/>
              <w:t>ООО «ОО «ПЕЛЕНГ»</w:t>
              <w:br/>
              <w:t>ул. Выборгская, д. 14, лит. А,</w:t>
              <w:br/>
              <w:t>г. Зеленогорск, Санкт-Петербург, 197720</w:t>
            </w:r>
          </w:p>
        </w:tc>
      </w:tr>
    </w:tbl>
    <w:p>
      <w:r>
        <w:t>РЕШЕНИЕ по делу № 078/06/105-3387/2025</w:t>
      </w:r>
    </w:p>
    <w:p>
      <w:r>
        <w:t>о нарушении законодательства о контрактной системе</w:t>
      </w:r>
    </w:p>
    <w:p>
      <w:r>
        <w:t>14.11.2025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 ГБУЗ «Городская поликлиника № 17» (далее – Заказчик):</w:t>
      </w:r>
    </w:p>
    <w:p>
      <w:r>
        <w:t>в отсутствие представителя ООО «ОО «ПЕЛЕНГ» (далее – Заявитель): надлежащим образом уведомленного о месте и времени заседания Комиссии УФАС,</w:t>
      </w:r>
    </w:p>
    <w:p>
      <w:pPr>
        <w:pStyle w:val="Heading2"/>
      </w:pPr>
      <w:r>
        <w:t>описательная часть</w:t>
      </w:r>
    </w:p>
    <w:p>
      <w:r>
        <w:t>рассмотрев посредством системы видеоконференцсвязи жалобу Заявителя (вх. № 26891/25 от 07.11.2025) на действия Заказчика при определении (подрядчика, исполнителя) путем проведения открытого конкурса в электронной форме на оказание услуг по обеспечению безопасности объектов здравоохранения с предоставлением комплекса охранных мер и комплекса антитеррористических мероприятий (извещение № 0172200000725000340)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09.10.2025 на Официальном сайте единой информационной системы в информационно-телекоммуникационной сети «Интернет» в сфере закупок www.zakupki.gov.ru (далее – Официальный сайт, ЕИС) размещено извещение о проведении Конкурса.</w:t>
      </w:r>
    </w:p>
    <w:p>
      <w:r>
        <w:t>Начальная (максимальная) цена контракта – 10 771 654,08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 неправомерной оценке его заявки по детализирующему показателю «характеристика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Вместе с тем информация, изложенная в жалобе, имеющиеся документы подтверждают следующие обстоятельства.</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на Официальном сайте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соответствии с п. 4 ч. 2 ст. 42 Закона о контрактной системе извещение об осуществлении закупки, если иное не предусмотрено Законом о контрактной системе, должно содержать электронные документы, содержащие порядок рассмотрения и оценки заявок на участие в конкурсах в соответствии с Законом о контрактной системе.</w:t>
      </w:r>
    </w:p>
    <w:p>
      <w:r>
        <w:t>Частью 1 ст. 32 Закона о контрактной системе установлено, что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ст. 32 Закона о контрактной системе.</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Как установлено ч. 5.1 ст. 106 Закона о контрактной системе представление информации и документов, предусмотренных ч. 5 ст. 106 Закона о контрактной системе, не требуется в случае их размещения в соответствии с Законом о контрактной системе на официальном сайте. При этом, если информация и документы, предусмотренные ч. 5 ст. 106 Закона о контрактной системе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
        <w:t>В соответствии с извещением о проведении закупки Заказчиком для оценки заявок участников закупки использован, в том числе, критерий «Качественные, функциональные и экологические характеристики объекта закупки».</w:t>
      </w:r>
    </w:p>
    <w:p>
      <w:r>
        <w:t>Согласно электронным документам к извещению о проведении закупки показателем названного критерия является «Качественные характеристики объекта закупки».</w:t>
      </w:r>
    </w:p>
    <w:p>
      <w:r>
        <w:t>В Приложении № 4 к Извещению о проведении конкурса в электронной форме Заказчиком установлен следующий порядок оценки заявок на участие в рассматриваемой части:</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Характеристика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w:t>
            </w:r>
          </w:p>
        </w:tc>
        <w:tc>
          <w:tcPr>
            <w:tcW w:type="dxa" w:w="1728"/>
          </w:tcPr>
          <w:p>
            <w: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технология оказания услуг; контроль качества оказания услуг.</w:t>
              <w:br/>
              <w:t>Оценка заявки участника по детализирующей характеристике № 1 «Качество товаров (работ, услуг)» показателя «качественные характеристики объекта закупки определяется согласно представленной рекомендованной форме «Качественные характеристики объекта закупки», установленной в настоящем пункте, содержащей описание свойств объекта закупки в соответствии с требованиями, установленными в настоящем пункте, и заполненной в соответствии с инструкцией по ее заполнению:</w:t>
              <w:br/>
              <w:t>В рамках технологии оказания услуг необходимо предоставить следующий перечень сведений: совокупность методов для достижения желаемого результата в рамках исполнения договора, на право заключения которого проводится настоящий конкурс, с указанием последовательности действий при оказании услуг по договору, на право заключения которого проводится настоящий конкурс; информацию о действиях по обеспечению охраны в условиях критических и чрезвычайных ситуаций, действиях в условиях совершения террористических актов и ликвидации их последствий, Участнику необходимо также приложить проект плана мероприятий по профилактике и противодействию идеологии терроризма и экстремизма, обеспечению и повышению уровня антитеррористической защищенности и предупреждения террористических актов на объектах охраны Заказчика; информацию, содержащую описание системы коммуникации сотрудников и руководящего состава в процессе оказания услуг, с указанием порядка взаимодействия между руководителем и всеми сотрудниками, находящимися в подчинении руководителя, в том числе и его заместителей (при наличии), содержать перечень стандартов при оказания услуг; должен содержать схему взаимодействия персонала, а также информацию о возможных типах взаимодействия между ними; должен содержать схему взаимодействия между руководителем и группой быстрого реагирования, а также схему подъезда ближайшей группы быстрого реагирования с указание время прибытия с целью усиления согласно требованиям технического задания 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перечень документации находящейся на постах охраны с приложением проектов-макетов должностных инструкций на всех сотрудников привлекаемых к оказанию услуг, а также макетов первых страниц всех служебных журналов, в соответствии с Приложением «Описанию объекта закупки» пункт 2.2.17; описание рабочей смены (состав, количество привлекаемого персонала);</w:t>
              <w:br/>
              <w:t>В рамках контроля качества оказания услуг необходимо предоставить следующий перечень сведений: методы, направленные на контроль качества оказания услуг, методы по внутреннему контролю, методы контроля за устранением недостатков при оказании услуг, указанных заказчиком, методы контроля за действиями непосредственных исполнителей, методы контроля качества результата оказанных услуг.</w:t>
              <w:br/>
              <w:t>При формировании описания свойств объекта закупки участник закупки должен не повторить требования описания объекта закупки со всеми его приложениями и/или положения нормативной документации, а представить описание свойств объекта закупки с учетом соответствующих требований/положений и имеющихся у участника закупки конкурентных качеств.</w:t>
              <w:br/>
              <w:t>Описание свойств объекта закупки должно разрабатываться участником на основе описания объекта закупки и приложений к нему, являющимся его неотъемлемой частью, а также с учетом требований нормативно-правовых актов. 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w:t>
              <w:br/>
              <w:t>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информации (возможно по рекомендованной форме «Качественные характеристики объекта закупки»), содержащей описание свойств объекта закупки, в соответствии с требованиями, установленными в настоящем пункте (в настоящем порядке оценки), в противном случае предоставляемое описание признается как «Предложение об отсутствии характеристики объекта закупки».</w:t>
              <w:br/>
              <w:t>При указании в описании свойств объекта закупки контроля за устранением недостатков при оказании услуг, указанных заказчиком, необходимо указать в том числе функции и порядок осуществления такого контроля, а также сроки устранения недостатков.</w:t>
              <w:br/>
              <w:t>При указании в описании свойств объекта закупки какого-либо контроля, необходимо также указать периодичность такого контроля и лиц (должность), осуществляющих такой контроль.</w:t>
              <w:br/>
              <w:t>При указании в описании свойств объекта закупки контроля за действиями непосредственных исполнителей участнику закупки необходимо указать в том числе виды ответственности каждого сотрудника за неисполнение или ненадлежащее исполнение обязанностей, предусмотренных должностной инструкцией, с указанием случаев применения каждого вида ответственности и порядка их применения.</w:t>
              <w:br/>
              <w:t>При указании в описании свойств объекта закупки контроля оказания услуг, необходимо указать, в том числе функции и порядок осуществления такого контроля.</w:t>
              <w:br/>
              <w:t>При указании в описании свойств объекта закупки внутреннего контроля участнику закупки необходимо указать, в том числе комплекс действий (мер), совершаемых ответственными должностными лицами участника конкурса по проверке соблюдения работниками участника конкурса возложенных на них обязанностей при исполнении контракта. Информацию о порядке проверок объекта при осуществлении контроля качества, с указанием должностей лиц, которые вправе осуществлять непосредственный контроль качества оказываемых услуг, а также требуется указать срок осуществления проверок объекта.</w:t>
              <w:br/>
              <w:t>Проверки, проводимые ответственными должностными лицами участника конкурса при указании мероприятий по внутреннему контролю, могут подразделяться на следующие виды: плановые; внеплановые.</w:t>
              <w:br/>
              <w:t>При указании в описании свойств объекта закупки последовательности всех действий при оказании услуг по договору, на право заключения которого проводится настоящий конкурс, необходимо также указать режим работы и последовательность операций (от того, как преступают к оказанию услуг до того, как заканчивают процесс оказания услуг), последовательность действий при нахождении подозрительных предметов (в т.ч. взрывчатых веществ). При указании в описании свойств объекта закупки методов контроля за устранением недостатков при оказании услуг, указанных заказчиком, необходимо также указать минимальные и максимальные сроки и порядок возмещения ущерба заказчику, причиненного при оказании услуг по договору, на право заключения которого проводится настоящий конкурс.</w:t>
              <w:br/>
              <w:t>Описание свойств объекта закупки должно быть однозначным и не должно допускать двусмысленных толкований.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приложений к нему, трактуется как «Предложение об отсутствии характеристики объекта закупки».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 Предоставление описания свойств объекта закупки не в соответствии с инструкцией по заполнению рекомендованной формы «Качественные характеристики объекта закупки» трактуется, как «Предложение об отсутствии характеристики объекта закупки». В случае, если участник закупки не воспользовался рекомендованной формой «Предложение о качественных характеристиках объекта закупки», он должен предоставить свою форму, которая должна содержать всю информацию и требования Заказчика, в соответствии с настоящим пунктом и Инструкцией по заполнению рекомендованной формы «Качественные характеристики объекта закупки».</w:t>
              <w:br/>
              <w:t>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w:t>
              <w:br/>
              <w:t>Рекомендованная форма «Качественные характеристики объекта закупки»:</w:t>
              <w:br/>
              <w:t>Наименование конкурса: _____________________________</w:t>
              <w:br/>
              <w:t>Столбец 1</w:t>
            </w:r>
          </w:p>
        </w:tc>
        <w:tc>
          <w:tcPr>
            <w:tcW w:type="dxa" w:w="1728"/>
          </w:tcPr>
          <w:p>
            <w:r>
              <w:t>Столбец 2</w:t>
            </w:r>
          </w:p>
        </w:tc>
        <w:tc>
          <w:tcPr>
            <w:tcW w:type="dxa" w:w="1728"/>
          </w:tcPr>
          <w:p>
            <w:r>
              <w:t>Столбец 3</w:t>
            </w:r>
          </w:p>
        </w:tc>
        <w:tc>
          <w:tcPr>
            <w:tcW w:type="dxa" w:w="1728"/>
          </w:tcPr>
          <w:p>
            <w:r>
              <w:t>…</w:t>
            </w:r>
          </w:p>
        </w:tc>
      </w:tr>
    </w:tbl>
    <w:p>
      <w:r>
        <w:t>Значение количества баллов по характеристике №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В силу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t>Согласно протоколу рассмотрения и оценки первых частей заявок на участие в открытом конкурсе в электронной форме, по итогам рассмотрения и оценки первых частей заявок на участие в открытом конкурсе заявка Заявителя была оценена в 0 баллов.</w:t>
      </w:r>
    </w:p>
    <w:p>
      <w:r>
        <w:t>Положениями Закона о контрактной системе не предусмотрено указание причин, по которым участнику закупки начислили то или иное количество баллов.</w:t>
      </w:r>
    </w:p>
    <w:p>
      <w:r>
        <w:t>Согласно ч. 18 ст. 48 Закона о контрактной системе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p>
      <w:r>
        <w:t>Заявитель воспользовался данным правом и направил запрос о даче разъяснений результатов конкурса.</w:t>
      </w:r>
    </w:p>
    <w:p>
      <w:r>
        <w:t>Согласно полученному ответу следует, что в отношении заявки Заявителя членами комиссии по осуществлению закупок предложению Заявителя по критерию «Качественные, функциональные и экологические характеристики объекта закупки» было присвоено 0 баллов по следующим основаниям:</w:t>
      </w:r>
    </w:p>
    <w:p>
      <w:r>
        <w:t>«Уважаемый Участник по показателю оценки «характеристика N 1 (качество товаров (работ, услуг))», детализирующему показатель оценки «качественные характеристики объекта закупки» критерия оценки «Качественные, функциональные и экологические характеристики объекта закупки» участнику закупки не были начислены баллы в связи тем, что в составе первой части заявки Предложение по критерию «качественные, функциональные и экологические характеристики объекта закупки» отсутствует: схема подъезда ближайшей группы быстрого реагирования. Согласно ГОСТ Р 59044-2020, должна быть представлена Схема движения и место дислокации мобильной группы охраны (групп быстрого реагирования) с готовностью реагирования на сигнальную информацию технических средств охраны с охраняемых объектов, блокирования и задержания лиц, совершивших покушение на охраняемое имущество. Из данной схемы должно быть понятно, где базируется ближайший экипаж ГБР, на каком удалении от объекта и сколько времени будет затрачено на подъезд экипажа ГБР.</w:t>
      </w:r>
    </w:p>
    <w:p>
      <w:r>
        <w:t>В ваших характеристиках, в п. 1.6, вышеуказанная схема отсутствует, также не указан адрес, где базируется ближайший экипаж ГБР.</w:t>
      </w:r>
    </w:p>
    <w:p>
      <w:r>
        <w:t>Запросов разъяснений на этапе подачи заявок по данному вопросу не поступало. Из чего Заказчик делает вывод, что Участникам было понятно, как именно должно быть описано данное свойство».</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Законом о контрактной системе, должна содержать предложение участника закупки в отношении объекта закупки с учетом положений ч. 2 ст. 43 Закона о контрактной системе предложение по критериям, предусмотренным п. 2 и (или) 3 ч. 1 ст. 32 Закона о контрактной системе (в случае проведения конкурсов и установления таких критериев).</w:t>
      </w:r>
    </w:p>
    <w:p>
      <w:r>
        <w:t>Вместе с тем анализ заявки Заявителя показал, что в рассматриваемой части им была представлена полная информация, соответствующая указанным Заказчиком требованиям:</w:t>
      </w:r>
    </w:p>
    <w:p>
      <w:r>
        <w:t>- Раздел 1.6 «Схема взаимодействия с группой быстрого реагирования» содержит детальное описание схемы, включая круглосуточный режим работы ГБР, состав (2-3 охранника 6 разряда), оснащение, контроль выездов и гарантию прибытия на объект в течение 15 минут в соответствии с ГОСТ Р 59044-2020.</w:t>
      </w:r>
    </w:p>
    <w:p>
      <w:r>
        <w:t>- Таблица «Последовательность действий» (строка 5) указывает: «ГБР на удалении не более 15 мин», «Выезд в течение 3 мин», «Прибытие максимум 15 мин».</w:t>
      </w:r>
    </w:p>
    <w:p>
      <w:r>
        <w:t>- Детальная таблица «Этапы взаимодействия с ГБР» описывает 6 этапов с временными рамками: от обнаружения сигнала (0-30 сек) до прибытия (до 15 мин) и отчетности.</w:t>
      </w:r>
    </w:p>
    <w:p>
      <w:r>
        <w:t>Указанная информация представляет собой схему подъезда в форме поэтапного алгоритма с хронометражем, что обеспечивает понимание процесса и соответствует требованиям извещения о проведении закупки.</w:t>
      </w:r>
    </w:p>
    <w:p>
      <w:r>
        <w:t>Требование о предоставлении конкретного адреса базирования ГБР отсутствует в извещении о проведении закупки, техническом задании и порядке оценки.</w:t>
      </w:r>
    </w:p>
    <w:p>
      <w:r>
        <w:t>Кроме того, ГОСТ Р 59044-2020 регулирует фактическое оказание услуг исполнителем после заключения контракта, а не форму представления информации в заявке на участие в закупке.</w:t>
      </w:r>
    </w:p>
    <w:p>
      <w:r>
        <w:t>Таким образом, действия конкурсной комиссии Заказчика нарушают пп. б) п. 1 ч. 3 ст. 48 Закона о контрактной системе, выразившееся в неправомерном применении порядка оценки представленных сведений в составе заявки Заявителя по показателю «Качественные характеристики объекта закупки» критерия «Качественные, функциональные и экологические характеристики объекта закупки».</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«ОО «ПЕЛЕНГ» обоснованной.</w:t>
      </w:r>
    </w:p>
    <w:p>
      <w:r>
        <w:t>2. Признать в действиях комиссии Заказчика нарушение пп. б) п. 1 ч. 3 ст. 48 Закона о контрактной системе.</w:t>
      </w:r>
    </w:p>
    <w:p>
      <w:r>
        <w:t>3. Выдать Заказчику, комиссии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tbl>
      <w:tblPr>
        <w:tblStyle w:val="TableGrid"/>
        <w:tblW w:type="auto" w:w="0"/>
        <w:tblLook w:firstColumn="1" w:firstRow="1" w:lastColumn="0" w:lastRow="0" w:noHBand="0" w:noVBand="1" w:val="04A0"/>
      </w:tblPr>
      <w:tblGrid>
        <w:gridCol w:w="2880"/>
        <w:gridCol w:w="2880"/>
        <w:gridCol w:w="2880"/>
      </w:tblGrid>
      <w:tr>
        <w:tc>
          <w:tcPr>
            <w:tcW w:type="dxa" w:w="2880"/>
          </w:tcPr>
          <w:p>
            <w:r>
              <w:t>Заместитель председателя Комиссии УФАС</w:t>
            </w:r>
          </w:p>
        </w:tc>
        <w:tc>
          <w:tcPr>
            <w:tcW w:type="dxa" w:w="2880"/>
          </w:tcPr>
          <w:p>
            <w:r/>
          </w:p>
        </w:tc>
        <w:tc>
          <w:tcPr>
            <w:tcW w:type="dxa" w:w="2880"/>
          </w:tcPr>
          <w:p>
            <w:r/>
          </w:p>
        </w:tc>
      </w:tr>
      <w:tr>
        <w:tc>
          <w:tcPr>
            <w:tcW w:type="dxa" w:w="2880"/>
          </w:tcPr>
          <w:p>
            <w:r>
              <w:t>Члены Комиссии УФАС</w:t>
            </w:r>
          </w:p>
        </w:tc>
        <w:tc>
          <w:tcPr>
            <w:tcW w:type="dxa" w:w="2880"/>
          </w:tcPr>
          <w:p>
            <w:r/>
          </w:p>
        </w:tc>
        <w:tc>
          <w:tcPr>
            <w:tcW w:type="dxa" w:w="2880"/>
          </w:tcPr>
          <w:p>
            <w:r/>
          </w:p>
        </w:tc>
      </w:tr>
    </w:tbl>
    <w:p>
      <w:r>
        <w:t>Настоящее решение может быть обжаловано в судебном порядке в течение трёх месяцев со дня принятия.</w:t>
      </w:r>
    </w:p>
    <w:p>
      <w:r>
        <w:t>8</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