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202500114959015129</w:t>
      </w:r>
    </w:p>
    <w:p>
      <w:r>
        <w:rPr>
          <w:b/>
        </w:rPr>
        <w:t xml:space="preserve">УФАС: </w:t>
      </w:r>
      <w:r>
        <w:t>УФАС по Санкт-Петербургу</w:t>
      </w:r>
    </w:p>
    <w:p>
      <w:r>
        <w:rPr>
          <w:b/>
        </w:rPr>
        <w:t xml:space="preserve">Дата решения: </w:t>
      </w:r>
      <w:r>
        <w:t>17.11.2025</w:t>
      </w:r>
    </w:p>
    <w:p>
      <w:r>
        <w:rPr>
          <w:b/>
        </w:rPr>
        <w:t xml:space="preserve">Исход: </w:t>
      </w:r>
      <w:r>
        <w:t>обоснована</w:t>
      </w:r>
    </w:p>
    <w:p>
      <w:r>
        <w:rPr>
          <w:b/>
        </w:rPr>
        <w:t xml:space="preserve">Закупка №: </w:t>
      </w:r>
      <w:r>
        <w:t>0172200000725000344</w:t>
      </w:r>
    </w:p>
    <w:p>
      <w:r>
        <w:rPr>
          <w:b/>
        </w:rPr>
        <w:t xml:space="preserve">Заказчик: </w:t>
      </w:r>
      <w:r>
        <w:t>Администрация Красногвардейского района Санкт-Петербурга</w:t>
      </w:r>
    </w:p>
    <w:p>
      <w:r>
        <w:rPr>
          <w:b/>
        </w:rPr>
        <w:t xml:space="preserve">Заявитель: </w:t>
      </w:r>
      <w:r>
        <w:t>ООО частная охранная организация «ЩИТ и МЕЧ-безопасность»</w:t>
      </w:r>
    </w:p>
    <w:p>
      <w:r>
        <w:rPr>
          <w:b/>
        </w:rPr>
        <w:t xml:space="preserve">Первоисточник в ЕИС: </w:t>
      </w:r>
      <w:r>
        <w:t>https://zakupki.gov.ru/epz/complaint/card/complaint-information.html?complaintNumber=202500114959015129</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АДМИНИСТРАЦИЯ КРАСНОГВАРДЕЙСКОГО РАЙОНА САНКТ-ПЕТЕРБУРГА</w:t>
              <w:br/>
              <w:t>Российская Федерация, 195027,</w:t>
              <w:br/>
              <w:t>Санкт-Петербург, ПР-КТ СРЕДНЕОХТИНСКИЙ, 50</w:t>
              <w:br/>
              <w:t>ООО ЧОО "ЩИТ И МЕЧ-БЕЗОПАСНОСТЬ"</w:t>
              <w:br/>
              <w:t>170019, ТВЕРСКАЯ ОБЛАСТЬ, Г ТВЕРЬ, УЛ МАЯКОВСКОГО, Д. 37, ПОМ/ОФИС 11/309А</w:t>
            </w:r>
          </w:p>
        </w:tc>
      </w:tr>
    </w:tbl>
    <w:p>
      <w:r>
        <w:t>РЕШЕНИЕ</w:t>
      </w:r>
    </w:p>
    <w:p>
      <w:r>
        <w:t>по делу № 078/06/105-3446/2025 о нарушении законодательства о контрактной системе</w:t>
      </w:r>
    </w:p>
    <w:p>
      <w:r>
        <w:t>17.11.2025 Санкт-Петербург</w:t>
      </w:r>
    </w:p>
    <w:p>
      <w:r>
        <w:t>Комиссия Санкт-Петербургского УФАС России по контролю в сфере закупок (далее – Комиссия УФАС) в составе:</w:t>
      </w:r>
    </w:p>
    <w:p>
      <w:r>
        <w:t>в отсутствие представителей:</w:t>
      </w:r>
    </w:p>
    <w:p>
      <w:r>
        <w:t>Администрации Красногвардейского района Санкт-Петербурга (далее – Уполномоченный орган) уведомленных о заседании Комиссии УФАС;</w:t>
      </w:r>
    </w:p>
    <w:p>
      <w:r>
        <w:t>при участии представителей:</w:t>
      </w:r>
    </w:p>
    <w:p>
      <w:r>
        <w:t>СПБ ГБУ ДО «Детская школа искусств «Охтинский центр эстетического воспитания» (далее – Заказчик):,</w:t>
      </w:r>
    </w:p>
    <w:p>
      <w:r>
        <w:t>ООО ЧОО «ЩИТ И МЕЧ-БЕЗОПАСНОСТЬ» (далее – Заявитель):,</w:t>
      </w:r>
    </w:p>
    <w:p>
      <w:pPr>
        <w:pStyle w:val="Heading2"/>
      </w:pPr>
      <w:r>
        <w:t>описательная часть</w:t>
      </w:r>
    </w:p>
    <w:p>
      <w:r>
        <w:t>рассмотрев посредством системы видеоконференцсвязи жалобу Заявителя (вх. № 27297/25 от 12.11.2025) на действия АДМИНИСТРАЦИЯ КРАСНОГВАРДЕЙСКОГО РАЙОНА САНКТ-ПЕТЕРБУРГА, (далее – Комиссия по осуществлению закупок в соответствии с 44-ФЗ), при определении (подрядчика, исполнителя) путем проведения закупки на оказание услуг по охране помещений для Санкт-Петербургского государственного бюджетного учреждения дополнительного образования «Детская школа искусств «Охтинский центр эстетического воспитания» для нужд Санкт-Петербурга в 2025 – 2026-2027 годах (извещение № 0172200000725000344)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13.10.2025 в единой информационной системе, номер извещения 0172200000725000344. Максимальное значение цены контрактов: 18 751 171, 20 рублей.</w:t>
      </w:r>
    </w:p>
    <w:p>
      <w:r>
        <w:t>В жалобе Заявитель указывает на неправомерные действия комиссии Заказчика по осуществлению закупок, выразившиеся, по мнению Заявителя, в:</w:t>
      </w:r>
    </w:p>
    <w:p>
      <w:r>
        <w:t>- неверном применении порядка оценки в отношении заявок участников закупки.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пояснения представителей сторон, представленные документы подтверждают следующие обстоятельства:</w:t>
      </w:r>
    </w:p>
    <w:p>
      <w:r>
        <w:t>1. В жалобе Заявитель указал на неправомерные действия конкурсной комиссии Заказчика, по основаниям, изложенным в жалобе.</w:t>
      </w:r>
    </w:p>
    <w:p>
      <w:r>
        <w:t>Необходимо отметить, что Комиссия УФАС рассматривает настоящую жалобу на предмет применения конкурсной комиссией Заказчика порядка оценки, установленного извещением, а не в отношении результатов оценки заявок на участие в конкурсе (с учетом правовой позиции, отраженной в постановлении Президиума Высшего Арбитражного Суда Российской Федерации от 17.01.2012 № 9874/11).</w:t>
      </w:r>
    </w:p>
    <w:p>
      <w:r>
        <w:t>Информация, изложенная в жалобе, представленные документы подтверждают следующие обстоятельства:</w:t>
      </w:r>
    </w:p>
    <w:p>
      <w:r>
        <w:t>1. 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В соответствии с ч. 1 ст. 24 Закона о контрактной системе заказчики при осуществлении закупок применяют конкурентные способы определения поставщиков (подрядчиков, исполнителей) (далее - конкурентные способы) или осуществляют закупки у единственного поставщика (подрядчика, исполнителя).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извещения об осуществлении закупки. При закрытом конкурентном способе информация о закупке сообщается путем направления приглашений принять участие в определении поставщика (подрядчика, исполнителя) (далее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r>
        <w:t>В соответствии с ч. 2 ст. 24 Закона о контрактной системе конкурентными способами являются:</w:t>
      </w:r>
    </w:p>
    <w:p>
      <w:r>
        <w:t>1) конкурсы (открытый конкурс в электронной форме (далее - электронный конкурс), закрытый конкурс, закрытый конкурс в электронной форме (далее - закрытый электронный конкурс);</w:t>
      </w:r>
    </w:p>
    <w:p>
      <w:r>
        <w:t>2) аукционы (открытый аукцион в электронной форме (далее - электронный аукцион), закрытый аукцион, закрытый аукцион в электронной форме (далее - закрытый электронный аукцион);</w:t>
      </w:r>
    </w:p>
    <w:p>
      <w:r>
        <w:t>3) запрос котировок в электронной форме (далее - электронный запрос котировок).</w:t>
      </w:r>
    </w:p>
    <w:p>
      <w:r>
        <w:t>Согласно ч. 1 ст. 48 Закона о контрактной системе электронный конкурс начинается с размещения в единой информационной системе извещения об осуществлении закупки.</w:t>
      </w:r>
    </w:p>
    <w:p>
      <w:r>
        <w:t>В силу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Законом о контрактной системе.</w:t>
      </w:r>
    </w:p>
    <w:p>
      <w:r>
        <w:t>В силу ч.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соответствии с ч. 4 ст. 32 Закона о контрактной системе в извещении об осуществлении закупки, документации о закупке (в случае, если настоящим Федеральным законом предусмотрена документация о закупке) заказчик обязан указать используемые при определении поставщика (подрядчика, исполнителя) критерии и их величины значимости. При этом количество используемых при определении поставщика (подрядчика, исполнителя) критериев, за исключением случаев проведения аукциона, должно быть не менее чем два, одним из которых является цена контракта или сумма цен единиц товара, работы, услуги. Не указанные в извещении об осуществлении закупки, документации о закупке (в случае, если настоящим Федеральным законом предусмотрена документация о закупке) критерии и их величины значимости не могут применяться для целей оценки заявок.</w:t>
      </w:r>
    </w:p>
    <w:p>
      <w:r>
        <w:t>Согласно ч. 8 ст. 32 Закона о контрактной системе порядок оценки заявок участников закупки, в том числе предельные величины значимости каждого критерия, устанавливаются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Согласно п. 1 Постановления № 2604 утверждено Положение об оценке заявок на участие в закупке товаров, работ, услуг для обеспечения государственных и муниципальных нужд.</w:t>
      </w:r>
    </w:p>
    <w:p>
      <w:r>
        <w:t>В соответствии с п. 2 Положения "оценка заявок" -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В силу п. 3 Положения 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w:t>
      </w:r>
    </w:p>
    <w:p>
      <w:r>
        <w:t>Согласно п. 8 Положения в случае применения показателей оценки по критериям оценки, предусмотренным подпунктами "в" и "г" пункта 3 настоящего Положения:</w:t>
      </w:r>
    </w:p>
    <w:p>
      <w:r>
        <w:t>а) применяются детализирующие показатели;</w:t>
      </w:r>
    </w:p>
    <w:p>
      <w:r>
        <w:t>б) 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r>
        <w:t>в) 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
        <w:t>В соответствии с п. 16 Положения об оценке заявок для оценки заявок для оценки заявок по критерию оценки "характеристики объекта закупки" могут применяться, если иное не предусмотрено Положением об оценки заявок, один или несколько из следующих показателей оценки:</w:t>
      </w:r>
    </w:p>
    <w:p>
      <w:r>
        <w:t>а) качественные характеристики объекта закупки;</w:t>
      </w:r>
    </w:p>
    <w:p>
      <w:r>
        <w:t>б) функциональные характеристики объекта закупки;</w:t>
      </w:r>
    </w:p>
    <w:p>
      <w:r>
        <w:t>в) экологические характеристики объекта закупки.</w:t>
      </w:r>
    </w:p>
    <w:p>
      <w:r>
        <w:t>В силу п. 19 Положения если характеристика, предусмотренная детализирующим показателем, не определяется количественным значением, документом, предусмотренным приложением N 1 к настоящему Положению, устанавливается перечень свойств объекта закупки, подлежащих оценке.</w:t>
      </w:r>
    </w:p>
    <w:p>
      <w:r>
        <w:t>В соответствии с п. 22 Положения в случае отсутствия функциональной зависимости между значением характеристики объекта закупки, определенной количественным значением, и значением количества присваиваемых баллов, а также в случае, если характеристика не определяется количественным значением, значение количества баллов по детализирующему показателю присваивается заявке, подлежащей в соответствии с Федеральным законом оценке по критерию оценки "характеристики объекта закупки", по шкале оценки. При этом документом, предусмотренным приложением N 1 к настоящему Положению, устанавливаются значения количества баллов, присваиваемые за предлагаемое (предлагаемые) участником закупки количественное значение (значения) характеристики объекта закупки или предлагаемое участником закупки свойство (свойства) объекта закупки.</w:t>
      </w:r>
    </w:p>
    <w:p>
      <w:r>
        <w:t>В силу п. 23 Положения если в случае, указанном в п. 22 настоящего Положения, предусматривается оценка наличия или отсутствия характеристики объекта закупки, шкала оценки должна предусматривать присвоение:</w:t>
      </w:r>
    </w:p>
    <w:p>
      <w:r>
        <w:t>а) 100 баллов заявке (части заявки), содержащей предложение о наличии характеристики объекта закупки, а при отсутствии характеристики объекта закупки - 0 баллов (если лучшим является наличие характеристики объекта закупки);</w:t>
      </w:r>
    </w:p>
    <w:p>
      <w:r>
        <w:t>б) 100 баллов заявке (части заявки), содержащей предложение об отсутствии характеристики объекта закупки, а при наличии характеристики - 0 баллов (если лучшим является отсутствие характеристики объекта закупки).</w:t>
      </w:r>
    </w:p>
    <w:p>
      <w:r>
        <w:t>Извещение об осуществлении закупки содержит следующие положения:</w:t>
      </w:r>
    </w:p>
    <w:p>
      <w:r>
        <w:t>«Значение количества баллов по характеристике N 1 (качество товаров (работ, услуг)) показателя «качественные характеристики объекта закупки» присваивается заявке, подлежащей в соответствии с Законом о контрактной системе оценке по критерию оценки «Качественные, функциональные и экологические характеристики объекта закупки», по шкале оценки:</w:t>
      </w:r>
    </w:p>
    <w:tbl>
      <w:tblPr>
        <w:tblStyle w:val="TableGrid"/>
        <w:tblW w:type="auto" w:w="0"/>
        <w:tblLook w:firstColumn="1" w:firstRow="1" w:lastColumn="0" w:lastRow="0" w:noHBand="0" w:noVBand="1" w:val="04A0"/>
      </w:tblPr>
      <w:tblGrid>
        <w:gridCol w:w="4320"/>
        <w:gridCol w:w="4320"/>
      </w:tblGrid>
      <w:tr>
        <w:tc>
          <w:tcPr>
            <w:tcW w:type="dxa" w:w="4320"/>
          </w:tcPr>
          <w:p>
            <w:r>
              <w:t>Значение детализирующего показателя - характеристики N 1 (качество товаров (работ, услуг)) показателя «качественные характеристики объекта закупки»</w:t>
            </w:r>
          </w:p>
        </w:tc>
        <w:tc>
          <w:tcPr>
            <w:tcW w:type="dxa" w:w="4320"/>
          </w:tcPr>
          <w:p>
            <w:r>
              <w:t>Количество присваиваемых баллов</w:t>
            </w:r>
          </w:p>
        </w:tc>
      </w:tr>
      <w:tr>
        <w:tc>
          <w:tcPr>
            <w:tcW w:type="dxa" w:w="4320"/>
          </w:tcPr>
          <w:p>
            <w:r>
              <w:t>Предложение о наличии характеристики объекта закупки</w:t>
            </w:r>
          </w:p>
        </w:tc>
        <w:tc>
          <w:tcPr>
            <w:tcW w:type="dxa" w:w="4320"/>
          </w:tcPr>
          <w:p>
            <w:r>
              <w:t>100 баллов</w:t>
            </w:r>
          </w:p>
        </w:tc>
      </w:tr>
      <w:tr>
        <w:tc>
          <w:tcPr>
            <w:tcW w:type="dxa" w:w="4320"/>
          </w:tcPr>
          <w:p>
            <w:r>
              <w:t>Предложение об отсутствии характеристики объекта закупки</w:t>
            </w:r>
          </w:p>
        </w:tc>
        <w:tc>
          <w:tcPr>
            <w:tcW w:type="dxa" w:w="4320"/>
          </w:tcPr>
          <w:p>
            <w:r>
              <w:t>0 баллов</w:t>
            </w:r>
          </w:p>
        </w:tc>
      </w:tr>
    </w:tbl>
    <w:p>
      <w:r>
        <w:t>Для оценки по характеристике N 1 (качество товаров (работ, услуг)) показателя «качественные характеристики объекта закупки» критерия «качественные, функциональные и экологические характеристики объекта закупки» в соответствии с пунктом 19 Положения Заказчиком установлен перечень свойств объекта закупки, подлежащих оценке: оснащение объектов заказчика (-ов) и квалифицированного персонала участника закупки надлежащим оборудованием и специальными средствами; технология управления рисками; обеспечение объектов заказчика (-ов) необходимым количеством квалифицированного персонала; осуществления своевременного контроля качества оказания услуг.</w:t>
      </w:r>
    </w:p>
    <w:p>
      <w:r>
        <w:t>Оценка заявки участника по детализирующей характеристике N 1 (качество товаров (работ, услуг)) показателя «качественные характеристики объекта закупки определяется согласно представленной форме «Качественные характеристики объекта закупки», установленной в настоящем пункте, содержащей описание свойств объекта закупки в соответствии с требованиями, установленными в настоящем пункте, и заполненной в соответствии с инструкцией по ее заполнению:</w:t>
      </w:r>
    </w:p>
    <w:p>
      <w:r>
        <w:t>Инструкция по заполнению столбца 1 формы «Качественные характеристики объекта закупки»: указывается номер строки в формате «Строка 1», «Строка 2», «Строка 3» и т.д. Инструкция по заполнению столбца 2 формы «Качественные характеристики объекта закупки»: указывается наименование объекта настоящей закупки. Инструкция по заполнению столбца 3 формы «Качественные характеристики объекта закупки»: указывается наименование свойства объекта закупки, по которому участником закупки предполагается сделать описание. Инструкция по заполнению столбца 4 формы «Качественные характеристики объекта закупки»: указываются сведения по соответствующему свойству объекта закупки, указанному в столбце 3 этой же строки в соответствии с требованиями, установленными в настоящем пункте. Инструкция по заполнению формы «Качественные характеристики объекта закупки» (общие положения): в рамках одной строки участникам необходимо описывать только одно свойство объекта закупки, при этом все столбцы должны быть заполнены строго в соответствии с настоящей инструкцией.</w:t>
      </w:r>
    </w:p>
    <w:p>
      <w:r>
        <w:t>В рамках оснащения объектов заказчика (-ов) и квалифицированного персонала участника закупки надлежащим оборудованием и специальными средствами необходимо предоставить следующий перечень сведений: совокупность оборудования, специальных средств, используемых непосредственными исполнителями (подрядчиками) при оказании услуг, с обязательным указанием по каждому такому оборудованию и специальному средству в отдельности: наименования, количества, марки, минимальных характеристик, и пояснений, позволяющих четко определить сферу их применения в процессе оказания соответствующих услуг.</w:t>
      </w:r>
    </w:p>
    <w:p>
      <w:r>
        <w:t>В рамках раздела технология управления рисками необходимо предоставить следующие подразделы: «Планирование по управлению рисками»; «Качественный анализ рисков»; «Количественный анализ рисков»; «Система контроля реализации принятых рисковых решений».</w:t>
      </w:r>
    </w:p>
    <w:p>
      <w:r>
        <w:t>В описании технологии управления рисками обязательное указание факторов внешней среды предприятия: отношение к риску и толерантность к риску организации и лиц, участвующих в процессе оказания услуг, оказывает влияние на план управления и может проявляться в конкретных действиях: исполнитель должен иметь заранее разработанные подходы к управлению рисками, например категории рисков, общие определения понятий и терминов, стандартные шаблоны, схемы распределения ролей и ответственности, а также определенные уровни полномочий для принятия решений. В качестве инструментов и методов планирования управлением рисками: проводятся ли совещания по планированию и анализу, привести иерархическую структуру определения рисков.</w:t>
      </w:r>
    </w:p>
    <w:p>
      <w:r>
        <w:t>В рамках обеспечения объектов заказчика (-ов) необходимым количеством квалифицированного персонала необходимо предоставить следующий перечень сведений: перечень специалистов (сотрудников), задействованных при оказании услуг по контракту, на право заключения которого проводится настоящий конкурс, с обязательным указанием по каждому такому специалисту (сотруднику) в отдельности: должностей, профессиональных задач и обязанностей, опыта работы в соответствующей должности.</w:t>
      </w:r>
    </w:p>
    <w:p>
      <w:r>
        <w:t>При формировании описания свойств объекта закупки участник закупки должен не повторить требования описания объекта закупки со всеми его приложениями и/или положения нормативной документации, а представить описание свойств объекта закупки с учетом соответствующих требований/положений и имеющихся у участника закупки конкурентных качеств.</w:t>
      </w:r>
    </w:p>
    <w:p>
      <w:r>
        <w:t>Описание свойств объекта закупки должно разрабатываться участником на основе описания объекта закупки и приложений к нему, являющимся его неотъемлемой частью, а также с учетом требований нормативно-правовых актов. Описание свойств объекта закупки должно отвечать всем требованиям, указанным в описании объекта закупки и приложениях к нему, в том числе нормативно-правовым актам, содержащимся в описании объекта закупки.</w:t>
      </w:r>
    </w:p>
    <w:p>
      <w:r>
        <w:t>В рамках осуществления своевременного контроля качества оказания услуг необходимо предоставить следующий перечень сведений: методы, направленные на контроль качества результата оказанных услуг, методы по внутреннему контролю за состоянием уровня безопасности на объекте; методы контроля за устранением недостатков при оказании услуг, указанных заказчиком, и методы контроля за действиями непосредственных исполнителей (подрядчиков).</w:t>
      </w:r>
    </w:p>
    <w:p>
      <w:r>
        <w:t>В рамках характеристики N 1 (качество товаров (работ, услуг)) показателя «качественные характеристики объекта закупки» под «Предложением о наличии характеристики объекта закупки» понимается предоставления в составе заявки формы «Качественные характеристики объекта закупки», содержащей описание свойств объекта закупки, в соответствии с требованиями, установленными в настоящем пункте (в настоящем порядке оценки), в противном случае предоставляемое описание признается как «Предложение об отсутствии характеристики объекта закупки».</w:t>
      </w:r>
    </w:p>
    <w:p>
      <w:r>
        <w:t>При указании в описании свойств объекта закупки внутреннего контроля за состоянием уровня безопасности на объекте участнику закупки необходимо указать в том числе комплекс действий (мер), совершаемых ответственными должностными лицами участника конкурса по проверке соблюдения работниками участника конкурса возложенных на них обязанностей при исполнении контракта. Проверки, проводимые ответственными должностными лицами участника конкурса при указании мероприятий по внутреннему контролю за состоянием уровня безопасности на объекте, должны подразделяться на следующие виды: плановые; внеплановые.</w:t>
      </w:r>
    </w:p>
    <w:p>
      <w:r>
        <w:t>Описание свойств объекта закупки должно быть однозначным и не должно допускать двусмысленных толкований, содержать слов «должен», «будет», «обязан», «можно», «возможно», «вероятно» и их производные. При формировании описания свойств объекта закупки участник закупки должен не повторить требования описания объекта закупки со всеми его приложениями и/или положения нормативной документации, а представить описание свойств объекта закупки с учетом соответствующих требований/положений и имеющихся у участника закупки конкурентных качеств.</w:t>
      </w:r>
    </w:p>
    <w:p>
      <w:r>
        <w:t>Непредставление описания свойств объекта закупки или предоставление описания свойств объекта закупки, несоответствующего требованиям настоящего пункта Порядка рассмотрения и оценки заявок на участие в конкурсе, и/или требованиям описания объекта закупки, и/или приложений к нему, трактуется как «Предложение об отсутствии характеристики объекта закупки». В случае, если участником закупки указывается, что все услуги будут оказаны в соответствии со всеми требованиями, указанными в описании объекта закупки, и/или в соответствии с нормативными документами, и им не предлагается описание свойств объекта закупки, то такое предложение также трактуется, как «Предложение об отсутствии характеристики объекта закупки». Предоставление описания свойств объекта закупки не в соответствии с формой «Качественные характеристики объекта закупки», или предоставление описания свойств объекта закупки не в соответствии с инструкцией по заполнению формы «Качественные характеристики объекта закупки» трактуется, как «Предложение об отсутствии характеристики объекта закупки».</w:t>
      </w:r>
    </w:p>
    <w:p>
      <w:r>
        <w:t>В рамках характеристики N 1 (качество товаров (работ, услуг)) показателя «качественные характеристики объекта закупки» соответствующие сведения считаются представленными, если такие сведения отвечают всем соответствующим требованиям Заказчика, установленным в настоящем порядке оценки, вне зависимости от степени детализации таких сведений.</w:t>
      </w:r>
    </w:p>
    <w:p>
      <w:r>
        <w:t>Форма «Качественные характеристики объекта закупки»:</w:t>
      </w:r>
    </w:p>
    <w:p>
      <w:r>
        <w:t>Наименование конкурса: _____________________________</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Столбец 1</w:t>
            </w:r>
          </w:p>
        </w:tc>
        <w:tc>
          <w:tcPr>
            <w:tcW w:type="dxa" w:w="2160"/>
          </w:tcPr>
          <w:p>
            <w:r>
              <w:t>Столбец 2</w:t>
            </w:r>
          </w:p>
        </w:tc>
        <w:tc>
          <w:tcPr>
            <w:tcW w:type="dxa" w:w="2160"/>
          </w:tcPr>
          <w:p>
            <w:r>
              <w:t>Столбец 3</w:t>
            </w:r>
          </w:p>
        </w:tc>
        <w:tc>
          <w:tcPr>
            <w:tcW w:type="dxa" w:w="2160"/>
          </w:tcPr>
          <w:p>
            <w:r>
              <w:t>Столбец 4</w:t>
            </w:r>
          </w:p>
        </w:tc>
      </w:tr>
    </w:tbl>
    <w:p>
      <w:r>
        <w:t>Согласно пп. б) п. 1 ч. 3 ст. 48 Закона о контрактной системе не позднее двух рабочих дней (за исключением случая, предусмотренного частью 4 настоящей статьи)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 члены комиссии по осуществлению закупок: осуществляют оценку первых частей заявок на участие в закупке, в отношении которых принято решение о признании соответствующими извещению об осуществлении закупки, по критериям, предусмотренным пунктами 2 и 3 части 1 статьи 32 настоящего Федерального закона (если такие критерии установлены извещением об осуществлении закупки).</w:t>
      </w:r>
    </w:p>
    <w:p>
      <w:r>
        <w:t>В соответствии с п. 4 ч. 6 ст. 48 Закона о контрактной системе протокол рассмотрения и оценки первых частей заявок на участие в закупке должен содержать информацию о решении каждого члена комиссии по осуществлению закупок, принимавшего участие в рассмотрении и оценке первых частей заявок на участие в закупке, в отношении каждой первой части заявки на участие в закупке.</w:t>
      </w:r>
    </w:p>
    <w:p>
      <w:r>
        <w:t>В соответствии с протоколом рассмотрения и оценки первых частей заявок на участие в открытом конкурсе в электронной форме от 31.10.2025 №ПРОI1 заявке участника (78636) присвоено 0 баллов:</w:t>
      </w:r>
    </w:p>
    <w:p>
      <w:r>
        <w:t>«*Заявка с идентификационным номером 78636</w:t>
      </w:r>
    </w:p>
    <w:p>
      <w:r>
        <w:t>Участнику закупки по показателю оценки «Качественные характеристики объекта закупки» начислено 0 баллов, учитывая следующие основания: В рамках описания свойства объекта закупки «методы контроля за устранением недостатков при оказании услуг, указанных заказчиком» участником предоставлено общее описание процедуры устранения нарушений, выявленных в ходе внутреннего контроля.</w:t>
      </w:r>
    </w:p>
    <w:p>
      <w:r>
        <w:t>Однако не раскрыта специальная процедура взаимодействия с заказчиком по его замечаниям, включая: порядок получения, регистрации, согласования сроков устранения и подтверждения устранения недостатков, указанных именно заказчиком.</w:t>
      </w:r>
    </w:p>
    <w:p>
      <w:r>
        <w:t>Таким образом, описание данного обязательного свойства не соответствует требованиям п. III Приложения № 4 к документации о закупке.</w:t>
      </w:r>
    </w:p>
    <w:p>
      <w:r>
        <w:t>В соответствии с положениями Приложения № 4:</w:t>
      </w:r>
    </w:p>
    <w:p>
      <w:r>
        <w:t>«Непредставление описания свойств объекта закупки или предоставление описания свойств объекта закупки, несоответствующего требованиям настоящего пункта Порядка рассмотрения и оценки заявок на участие в конкурсе, и/или требованиям описания объекта закупки, и/или приложений к нему, трактуется как “Предложение об отсутствии характеристики объекта закупки”».</w:t>
      </w:r>
    </w:p>
    <w:p>
      <w:pPr>
        <w:pStyle w:val="Heading2"/>
      </w:pPr>
      <w:r>
        <w:t>мотивировочная часть</w:t>
      </w:r>
    </w:p>
    <w:p>
      <w:r>
        <w:t>На основании изложенного, заявка участника признана не содержащей предложения о наличии характеристики объекта закупки, и по характеристике N 1 присуждается 0 баллов».</w:t>
      </w:r>
    </w:p>
    <w:p>
      <w:r>
        <w:t>В соответствии с пп. г) п. 2 ч. 1 ст. 43 Закона о контрактной системе для участия в конкурентном способе заявка на участие в закупке, если иное не предусмотрено настоящим Федеральным законом, должна содержать предложение участника закупки в отношении объекта закупки: с учетом положений части 2 настоящей статьи предложение по критериям, предусмотренным пунктами 2 и (или) 3 части 1 статьи 32 настоящего Федерального закона (в случае проведения конкурсов и установления таких критериев).</w:t>
      </w:r>
    </w:p>
    <w:p>
      <w:r>
        <w:t>Из анализа заявки следует, что в рамках показателя «качественные характеристики объекта закупки» критерия «качественные, функциональные и экологические характеристики объекта закупки» участником закупки представлено описание свойств объекта закупки.</w:t>
      </w:r>
    </w:p>
    <w:p>
      <w:r>
        <w:t>В составе заявки участником закупки представлены сведения по показателю «Качественные характеристики объекта закупки», содержащие описание свойств объекта закупки.</w:t>
      </w:r>
    </w:p>
    <w:p>
      <w:r>
        <w:t>Анализ предложения участника показал, что в нём содержится информации о:</w:t>
      </w:r>
    </w:p>
    <w:p>
      <w:r>
        <w:t>1. Фиксации выявленных нарушений: Данный пункт предполагает фиксацию всех замечаний и недостатков, вне зависимости, кем они выявлены, в том числе и заказчиком.</w:t>
      </w:r>
    </w:p>
    <w:p>
      <w:r>
        <w:t>2. Указании различных форм фиксации (журнал инцидентов, акт контроля, электронный отчет) подразумевает вариативность и возможность адаптироваться к требованиям заказчика в части формы и способа предоставления информации.</w:t>
      </w:r>
    </w:p>
    <w:p>
      <w:r>
        <w:t>3. Документировании выполненных мер и отчетность перед заказчиком: Этот пункт прямо указывает на обязательность составления и предоставления заказчику отчетов о выполненных действиях по устранению недостатков. Это включает подтверждение выполнения всех требований заказчика, то есть подтверждение устранения недостатков. Отчетность предполагает получение обратной связи от заказчика, что является ключевым элементом взаимодействия.</w:t>
      </w:r>
    </w:p>
    <w:p>
      <w:r>
        <w:t>4. Назначении конкретного срока устранения и ответственного сотрудника (в пункте 1) предполагает согласование сроков устранения с заказчиком, так как в противном случае установление этих сроков было бы бессмысленным. Разумеется, Заявитель заинтересован в том, чтобы сроки были адекватными и удовлетворяли потребностям заказчика.</w:t>
      </w:r>
    </w:p>
    <w:p>
      <w:r>
        <w:t>5. Анализе отчетности сотрудников и сверка с фактическим состоянием объекта (пункт 3) предполагает учет замечаний и предложений заказчика при проведении анализа и сверки.</w:t>
      </w:r>
    </w:p>
    <w:p>
      <w:r>
        <w:t>Предложенные методы контроля в совокупности обеспечивают процесс устранения недостатков, выявленных заказчиком.</w:t>
      </w:r>
    </w:p>
    <w:p>
      <w:r>
        <w:t>Таким образом, представленное предложение участника по критерию «качественные, функциональные и экологические характеристики объекта закупки» соответствует требованиям Заказчика, у комиссии Заказчика отсутствовали основания для неначисления 100 баллов по критерию, а в её действиях усматривается нарушение пп. «б» п. 1 ч. 3 ст. 48 Закона о контрактной системе, жалоба признана обоснованной.</w:t>
      </w:r>
    </w:p>
    <w:p>
      <w:r>
        <w:t>Комиссия УФАС, руководствуясь ст. 99, 106 Закона о контрактной системе,</w:t>
      </w:r>
    </w:p>
    <w:p>
      <w:pPr>
        <w:pStyle w:val="Heading2"/>
      </w:pPr>
      <w:r>
        <w:t>резолютивная часть</w:t>
      </w:r>
    </w:p>
    <w:p>
      <w:r>
        <w:t>РЕШИЛА:</w:t>
      </w:r>
    </w:p>
    <w:p>
      <w:r>
        <w:t>1. Признать жалобу ООО ЧОО «ЩИТ И МЕЧ-БЕЗОПАСНОСТЬ» обоснованной.</w:t>
      </w:r>
    </w:p>
    <w:p>
      <w:r>
        <w:t>2. Признать в действиях конкурсной комиссии Заказчика нарушение пп. «б» п. 1 ч. 3 ст. 48 Закона о контрактной системе.</w:t>
      </w:r>
    </w:p>
    <w:p>
      <w:r>
        <w:t>3. Выдать Заказчику, его конкурсной комиссии и оператору электронной площадки обязательное для исполнения предписание об устранении выявленного нарушения законодательства о контрактной системе.</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10</w:t>
      </w:r>
    </w:p>
    <w:p>
      <w:pPr>
        <w:pStyle w:val="Heading1"/>
      </w:pPr>
      <w:r>
        <w:t>Предписание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АДМИНИСТРАЦИЯ КРАСНОГВАРДЕЙСКОГО РАЙОНА САНКТ-ПЕТЕРБУРГА</w:t>
              <w:br/>
              <w:t>Российская Федерация, 195027,</w:t>
              <w:br/>
              <w:t>Санкт-Петербург, ПР-КТ СРЕДНЕОХТИНСКИЙ, 50</w:t>
              <w:br/>
              <w:t>ООО ЧОО "ЩИТ И МЕЧ-БЕЗОПАСНОСТЬ"</w:t>
              <w:br/>
              <w:t>170019, ТВЕРСКАЯ ОБЛАСТЬ, Г ТВЕРЬ, УЛ МАЯКОВСКОГО, Д. 37, ПОМ/ОФИС 11/309А</w:t>
            </w:r>
          </w:p>
        </w:tc>
      </w:tr>
    </w:tbl>
    <w:p>
      <w:r>
        <w:t>ПРЕДПИСАНИЕ</w:t>
      </w:r>
    </w:p>
    <w:p>
      <w:r>
        <w:t>по делу № 078/06/105-3446/2025 об устранении нарушений законодательства о закупках</w:t>
      </w:r>
    </w:p>
    <w:p>
      <w:r>
        <w:t>17.11.2025 Санкт-Петербург</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078/06/105-3446/2025 о нарушении законодательства о закупках, руководствуясь ст. ст. 2,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Уполномоченному органу, Заказчику, оператору электронной площадки в 7-дневный срок с момента публикации настоящего предписания на официальном сайте для размещения информации о размещении заказов на поставки товаров, выполнение работ, оказание услуг устранить нарушения пп. «б» п. 1 ч. 3 ст. 48 Закона о контрактной системе и с этой целью:</w:t>
      </w:r>
    </w:p>
    <w:p>
      <w:r>
        <w:t>- отменить все протоколы, составленные в ходе проведения конкурса № 0172200000725000344;</w:t>
      </w:r>
    </w:p>
    <w:p>
      <w:r>
        <w:t>- повторно рассмотреть первые части заявок, поданные на участие в конкурсе № 0172200000725000344, с учетом мотивировочной части решения, указанного в преамбуле настоящего предписания;</w:t>
      </w:r>
    </w:p>
    <w:p>
      <w:r>
        <w:t>- провести процедуры определения поставщика (подрядчика, исполнителя) (извещение № 0172200000725000344) в соответствии с законодательством о контрактной системе.</w:t>
      </w:r>
    </w:p>
    <w:p>
      <w:r>
        <w:t>2. Заказчику и комиссии Уполномоченного органа по осуществлению закупок в срок до 30.12.2025 представить в Управление Федеральной антимонопольной службы по Санкт-Петербургу документальные доказательства исполнения пункта 1 данного предписания на электронную почту: to78@fas.gov.ru.</w:t>
      </w:r>
    </w:p>
    <w:p>
      <w:r>
        <w:t>3. Оператору электронной площадки:</w:t>
      </w:r>
    </w:p>
    <w:p>
      <w:r>
        <w:t>- обеспечить Заказчику, комиссии Уполномоченного органа по осуществлению закупок техническую возможность для исполнения п. 1 настоящего предписания.</w:t>
      </w:r>
    </w:p>
    <w:p>
      <w:r>
        <w:t>Предписание может быть обжаловано в судебном порядке в течение трех месяцев со дня его вынесения.</w:t>
      </w:r>
    </w:p>
    <w:p>
      <w:r>
        <w:t>Примечание. За невыполнение должностным лицом заказчика,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ч. 7 ст. 19.5 Кодекса Российской Федерации об административных правонарушениях установлена административная ответственность.</w:t>
      </w:r>
    </w:p>
    <w:p>
      <w:r>
        <w:t>Привлечение к ответственности, предусмотренной законодательством Российской Федерации, не освобождает от обязанности исполнить предписание контролирующего органа.</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