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202500114959016106</w:t>
      </w:r>
    </w:p>
    <w:p>
      <w:r>
        <w:rPr>
          <w:b/>
        </w:rPr>
        <w:t xml:space="preserve">УФАС: </w:t>
      </w:r>
      <w:r>
        <w:t>УФАС по Санкт-Петербургу</w:t>
      </w:r>
    </w:p>
    <w:p>
      <w:r>
        <w:rPr>
          <w:b/>
        </w:rPr>
        <w:t xml:space="preserve">Дата решения: </w:t>
      </w:r>
      <w:r>
        <w:t>02.12.2025</w:t>
      </w:r>
    </w:p>
    <w:p>
      <w:r>
        <w:rPr>
          <w:b/>
        </w:rPr>
        <w:t xml:space="preserve">Исход: </w:t>
      </w:r>
      <w:r>
        <w:t>обоснована</w:t>
      </w:r>
    </w:p>
    <w:p>
      <w:r>
        <w:rPr>
          <w:b/>
        </w:rPr>
        <w:t xml:space="preserve">Закупка №: </w:t>
      </w:r>
      <w:r>
        <w:t>0372200186925000377</w:t>
      </w:r>
    </w:p>
    <w:p>
      <w:r>
        <w:rPr>
          <w:b/>
        </w:rPr>
        <w:t xml:space="preserve">Заказчик: </w:t>
      </w:r>
      <w:r>
        <w:t>Санкт-Петербургское государственное бюджетное учреждение здравоохранения «Городской консультативно-диагностический центр № 1»</w:t>
      </w:r>
    </w:p>
    <w:p>
      <w:r>
        <w:rPr>
          <w:b/>
        </w:rPr>
        <w:t xml:space="preserve">Заявитель: </w:t>
      </w:r>
      <w:r>
        <w:t>ООО «Медицинские решения»</w:t>
      </w:r>
    </w:p>
    <w:p>
      <w:r>
        <w:rPr>
          <w:b/>
        </w:rPr>
        <w:t xml:space="preserve">Первоисточник в ЕИС: </w:t>
      </w:r>
      <w:r>
        <w:t>https://zakupki.gov.ru/epz/complaint/card/complaint-information.html?complaintNumber=202500114959016106</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"ГОРОДСКОЙ КОНСУЛЬТАТИВНО-ДИАГНОСТИЧЕСКИЙ ЦЕНТР № 1"</w:t>
              <w:br/>
              <w:t>Российская Федерация, 194354, Санкт-Петербург, Сикейроса, Д.10 ЛИТЕР А</w:t>
            </w:r>
          </w:p>
        </w:tc>
      </w:tr>
    </w:tbl>
    <w:p>
      <w:r>
        <w:t>ООО "МЕДИЦИНСКИЕ РЕШЕНИЯ"</w:t>
      </w:r>
    </w:p>
    <w:p>
      <w:r>
        <w:t>142200, МОСКОВСКАЯ ОБЛАСТЬ,</w:t>
      </w:r>
    </w:p>
    <w:p>
      <w:r>
        <w:t>Г. СЕРПУХОВ, Ш. БОРИСОВСКОЕ, Д. 1, ПОМЕЩ. 7, ОФИС 1</w:t>
      </w:r>
    </w:p>
    <w:p>
      <w:r>
        <w:t>РЕШЕНИЕ</w:t>
      </w:r>
    </w:p>
    <w:p>
      <w:r>
        <w:t>по делу № 078/06/105-3850/2025</w:t>
      </w:r>
    </w:p>
    <w:p>
      <w:r>
        <w:t>о нарушении законодательства о контрактной системе</w:t>
      </w:r>
    </w:p>
    <w:p>
      <w:r>
        <w:t>02.12.2025</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САНКТ-ПЕТЕРБУРГСКОЕ ГОСУДАРСТВЕННОЕ БЮДЖЕТНОЕ УЧРЕЖДЕНИЕ ЗДРАВООХРАНЕНИЯ "ГОРОДСКОЙ КОНСУЛЬТАТИВНО-ДИАГНОСТИЧЕСКИЙ ЦЕНТР № 1" (далее – Заказчик):</w:t>
      </w:r>
    </w:p>
    <w:p>
      <w:r>
        <w:t>ООО "МЕДИЦИНСКИЕ РЕШЕНИЯ" (далее – Заявитель):</w:t>
      </w:r>
    </w:p>
    <w:p>
      <w:pPr>
        <w:pStyle w:val="Heading2"/>
      </w:pPr>
      <w:r>
        <w:t>описательная часть</w:t>
      </w:r>
    </w:p>
    <w:p>
      <w:r>
        <w:t>рассмотрев посредством системы видеоконференцсвязи жалобу Заявителя (вх. № 28830/25 от 27.11.2025) на действия Заказчика при определении (подрядчика, исполнителя) путем проведения запроса котировок в электронной форме на поставку медицинских изделий (Системы рентгеновской костной денситометрии, двухэнергетической) для нужд Учреждения в 2025 году (далее – запрос котировок),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запроса котировок размещено 21.11.2025 в единой информационной системе, номер извещения 0372200186925000377. Начальная (максимальная) цена контракта – 15168900,00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Как следует из жалобы ООО «Медицинские решения, по мнению Заявителя, совокупность установленных Заказчиком требований к трабекулярному индексу сформулирована таким образом, что им соответствует только оборудование одного производителя, использующее специальный программный модуль для расчёта указанного индекса по запатентованной методике. В жалобе указано, что иные присутствующие на рынке модели остеоденситометров обеспечивают иные способы оценки состояния костной ткани, не позволяющие подтвердить трабекулярный индекс в том виде, который требуется извещением. В подтверждение Заявитель ссылается на проведённый анализ технических характеристик оборудования разных производителей, представленного на российском рынке, из которого следует, что поставка товара, полностью соответствующего спорному требованию, фактически возможна только одним хозяйствующим субъектом. Также в жалобе приведена ссылка на правовую позицию антимонопольного органа по аналогичным условиям закупки медицинского оборудования, где схожие требования к трабекулярному индексу признавались ограничивающими конкуренцию.</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Согласно пункту 1 части 2 статьи 42 Закона о контрактной системе извещение об осуществлении закупки должно содержать описание объекта закупки, которое составляется в соответствии с требованиями статьи 33 указанного закона и не должно приводить к ограничению конкуренции.</w:t>
      </w:r>
    </w:p>
    <w:p>
      <w:r>
        <w:t>В соответствии с п.п. 1-2 ч. 1 ст. 33 Закона о контрактной системе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При составлении описания объекта закупки Заказчики обязаны использовать показатели, требования, условные обозначения и терминологию, касающиеся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В силу ч. 2 ст. 33 Закона о контрактной системе описание объекта закупки в соответствии с требованиями, указанными в ч.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Частью 3 ст. 33 Закона о контрактной системе установлено, что не допускается включение в описание объекта закупки (в том числе в форме требований к качеству, техническим характеристикам товара, работы или услуги, требований к функциональным характеристикам (потребительским свойствам) товара)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для выполнения работы или оказания услуги, являющихся предметом контракта, за исключением случаев, если возможность установления таких требований к участнику закупки предусмотрена настоящим Федеральным законом.</w:t>
      </w:r>
    </w:p>
    <w:p>
      <w:r>
        <w:t>Положения частей 1 и 3 статьи 33 Закона о контрактной системе, имеющие универсальный характер, возлагают на Заказчика обязанность формировать извещение и описание объекта закупки таким образом, чтобы исключить любые ограничения числа участников закупки, не обусловленные необходимостью обеспечения государственных или муниципальных нужд. Прямое предписание Закона заключается в запрете включения в извещение и документацию требований, создающих преимущества для конкретных участников рынка или ограничивающих доступ потенциальных поставщиков к закупочной процедуре, в частности, путём установления требований, не основанных на действующем законодательстве. Эти положения прямо коррелируют с принципом обеспечения конкуренции, закреплённым в статье 8 Закона о контрактной системе, согласно которому каждому заинтересованному лицу должна быть обеспечена возможность стать исполнителем контракта, а Заказчику запрещается необоснованно сужать число возможных участников.</w:t>
      </w:r>
    </w:p>
    <w:p>
      <w:r>
        <w:t>При формировании описания объекта закупки Заказчику предоставлены определённые полномочия по конкретизации характеристик закупаемых товаров, работ или услуг, направленные на удовлетворение его объективных потребностей.</w:t>
      </w:r>
    </w:p>
    <w:p>
      <w:r>
        <w:t>Вместе с тем, как следует из системного и буквального толкования статей 8, 19 и 33 Закона о контрактной системе, такая детализация должна быть разумной, соразмерной, основанной на нормах федерального законодательства и не должна носить произвольного, ограничительного характера.</w:t>
      </w:r>
    </w:p>
    <w:p>
      <w:r>
        <w:t>Комиссия УФАС учитывает, что в силу статьи 33 Закона о контрактной системе Заказчик вправе конкретизировать функциональные, качественные и иные характеристики объекта закупки при условии, что такие требования связаны с его потребностями и не приводят к необоснованному ограничению количества участников.</w:t>
      </w:r>
    </w:p>
    <w:p>
      <w:r>
        <w:t>Из материалов дела следует, что, несмотря на прямое указание Заявителя на фактическое соответствие спорному требованию только оборудования одного производителя, Заказчик в представленных возражениях ограничился общими ссылками на необходимость обеспечения «современного уровня диагностики» и «повышения точности исследования», не представив каких-либо документов либо сведений, подтверждающих возможность исполнения спорных требований несколькими независимыми производителями. В материалах дела отсутствуют результаты анализа рынка, сравнительные таблицы характеристик оборудования различных брендов, технические заключения или иные доказательства, опровергающие довод Заявителя о фактической адресности спорного требования.</w:t>
      </w:r>
    </w:p>
    <w:p>
      <w:r>
        <w:t>Комиссия УФАС отдельно отмечает, что, при наличии возражений Заявителя о «заточенности» спорного параметра под одного производителя, именно на Заказчике лежит обязанность показать, что спорные характеристики могут быть достигнуты различными моделями оборудования, в том числе за счёт формулирования требований в виде диапазонов значений или описания требуемого функционала без привязки к конкретной методике расчёта трабекулярного индекса. Однако таких доказательств Заказчиком в материалы дела не представлено; примеры моделей медицинского оборудования иных производителей, в полной мере соответствующих совокупности установленных требований к трабекулярному индексу, Заказчиком не приведены.</w:t>
      </w:r>
    </w:p>
    <w:p>
      <w:r>
        <w:t>При этом спорное требование не вытекает непосредственно из обязательных требований, установленных национальными стандартами, клиническими рекомендациями либо особыми требованиями к безопасности медицинских изделий, и Заказчик не обосновал, почему достижение цели закупки невозможно при установлении более общих, функциональных характеристик (например, требований к диагностической информативности исследования, классу точности или диапазону измерений) вместо указания специфических параметров трабекулярного индекса, присущих по сути одному виду программного обеспечения.</w:t>
      </w:r>
    </w:p>
    <w:p>
      <w:r>
        <w:t>В совокупности указанные обстоятельства свидетельствуют о том, что спорное требование сформулировано не в виде нейтральных функциональных и технических характеристик, а в виде специального параметра, фактически ориентированного на продукцию конкретного производителя, что по своему смыслу противоречит пункту 1 части 1 статьи 33 Закона о контрактной системе и не отвечает цели обеспечения конкуренции при закупках. Поскольку в силу пункта 1 части 2 статьи 42 Закона о контрактной системе извещение должно содержать описание объекта закупки, составленное в соответствии со статьёй 33 указанного закона, установление спорного требования свидетельствует о нарушении Заказчиком пункта 1 части 2 статьи 42 Закона о контрактной системе.</w:t>
      </w:r>
    </w:p>
    <w:p>
      <w:pPr>
        <w:pStyle w:val="Heading2"/>
      </w:pPr>
      <w:r>
        <w:t>мотивировочная часть</w:t>
      </w:r>
    </w:p>
    <w:p>
      <w:r>
        <w:t>С учётом изложенного, а также принимая во внимание, что Заказчиком не представлены доказательства, опровергающие доводы Заявителя о фактической адресности требований к трабекулярному индексу и возможности их исполнения широким кругом участников закупки, Комиссия УФАС приходит к выводу о наличии в действиях Заказчика нарушения пункта 1 части 2 статьи 42 Закона о контрактной системе (в связи с несоответствием описания объекта закупки требованиям пункта 1 части 1 статьи 33 Закона о контрактной системе).</w:t>
      </w:r>
    </w:p>
    <w:p>
      <w:r>
        <w:t>Жалоба Заявителя в указанной части признаётся обоснованной.</w:t>
      </w:r>
    </w:p>
    <w:p>
      <w:r>
        <w:t>При этом, Комиссия исходит из того, что допущенное Заказчиком нарушение носит формальный характер: в материалах дела отсутствуют доказательства того, что спорные формулировки извещения реально повлияли на круг лиц, способных участвовать в закупке, в том числе производителей соответствующего оборудования, либо повлекли невозможность подачи ими заявок. Заказчиком представлены пояснения, из которых следует, что установленные характеристики связаны с его техническими потребностями, хотя такие пояснения и не подтверждены надлежащими доказательствами (расчётами, заключениями специалистов, служебными записками и т.п.). В совокупности указанные обстоятельства не свидетельствуют о нарушении прав и законных интересов участников закупки и не создают угрозы наступления неблагоприятных последствий для конкуренции, в связи с чем выдача предписания в данном случае представлялась бы несоразмерным вмешательством в ход закупки; Комиссия УФАС ограничивается констатацией выявленного формального нарушения без возложения на Заказчика обязанности по его устранению.</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"МЕДИЦИНСКИЕ РЕШЕНИЯ" обоснованной.</w:t>
      </w:r>
    </w:p>
    <w:p>
      <w:r>
        <w:t>2. Признать в действиях Заказчика нарушение пункта 1 части 2 статьи 42 Закона о контрактной системе.</w:t>
      </w:r>
    </w:p>
    <w:p>
      <w:r>
        <w:t>3. Предписание об устранении выявленного нарушения Закона о контрактной системе не выдавать.</w:t>
      </w:r>
    </w:p>
    <w:p>
      <w:r>
        <w:t>4. Передать соответствующему должностному лицу Санкт-Петербургского УФАС России материалы от 02.12.2025 по делу № 078/06/105-3850/2025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