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202500132489000008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0373200056424000349</w:t>
      </w:r>
    </w:p>
    <w:p>
      <w:r>
        <w:rPr>
          <w:b/>
        </w:rPr>
        <w:t xml:space="preserve">Заказчик: </w:t>
      </w:r>
      <w:r>
        <w:t>ГБУЗ города Москвы «Госпиталь для ветеранов войн №3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https://zakupki.gov.ru/epz/complaint/card/complaint-information.html?complaintNumber=202500132489000008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ГБУЗ «ГВВ № 3 ДЗМ»</w:t>
        <w:br/>
        <w:t>SkorkinSA@zdrav.mos.ru</w:t>
        <w:br/>
        <w:t>ООО «СОФ «БАРО»</w:t>
        <w:br/>
        <w:t>soft_baro@mail.ru</w:t>
        <w:br/>
        <w:t>РЕШЕНИЕ</w:t>
        <w:br/>
        <w:t>по делу № 077/06/106-86/2025 о нарушении</w:t>
        <w:br/>
        <w:t>законодательства о контрактной системе</w:t>
        <w:br/>
        <w:t>14.01.2025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главного государственного инспектора отдела</w:t>
        <w:br/>
        <w:t>обжалования государственных закупок А.А. Кутейникова 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 ГБУЗ «ГВВ № 3 ДЗМ» : В.В. Поляковского (по</w:t>
        <w:br/>
        <w:t>доверенности от 24.10.2022 №б/н),</w:t>
        <w:br/>
        <w:t>в отсутствие представителей ООО «СОФ «БАРО» 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 (далее — ЕИС),</w:t>
        <w:br/>
        <w:t>рассмотрев жалобу ООО «СОФ «БАРО» (далее — Заявитель) на действия</w:t>
        <w:br/>
        <w:t>ГБУЗ «ГВВ № 3 ДЗМ» (далее — Заказчик) при проведении электронного аукциона</w:t>
        <w:br/>
        <w:t>на право заключения государственного контракта на поставку шприцев для нужд</w:t>
        <w:br/>
        <w:t>ГБУЗ «ГВВ №3 ДЗМ» (Закупка № 0373200056424000349) (далее – электронный</w:t>
        <w:br/>
        <w:t>аукцион,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2025-1336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заседание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системе, в</w:t>
        <w:br/>
        <w:t>частности неправомерном объединении в один лот поставки медицинских изделий</w:t>
        <w:br/>
        <w:t>разных видов номенклатурной классификации медицинских изделий (далее —</w:t>
        <w:br/>
        <w:t>НКМИ), что противоречит требованиям Постановления Правительства Российской</w:t>
        <w:br/>
        <w:t>Федерации от 19 апреля 2021 г. № 620 «О требовании к формированию лотов при</w:t>
        <w:br/>
        <w:t>осуществлении закупок медицинских изделий, являющихся объектом закупки для</w:t>
        <w:br/>
        <w:t>обеспечения государственных и муниципальных нужд» (далее — Постановление</w:t>
        <w:br/>
        <w:t>№620).</w:t>
      </w:r>
    </w:p>
    <w:p>
      <w:r>
        <w:t>В обоснование своей позиции податель жалобы обращает внимание, что</w:t>
        <w:br/>
        <w:t>ранее Московским УФАС России рассматривалась жалоба Заявителя, содержащая</w:t>
        <w:br/>
        <w:t>указания на аналогичные нарушения Заказчика положений Постановления №620 и</w:t>
        <w:br/>
        <w:t>Закона о контрактной системе в рамках дела №077/06/106-16848/2024 от</w:t>
        <w:br/>
        <w:t>10.12.2024, вместе с тем в Изменение извещения о проведении электронного</w:t>
        <w:br/>
        <w:t>аукциона от 26.12.2024 №ИИ2 по-прежнему сохранено указанное нарушение.</w:t>
        <w:br/>
        <w:t>Так, в составе жалобы Заявитель конкретизирует, что п.1-14 описания</w:t>
        <w:br/>
        <w:t>объектов закупки Заказчиков закупается изделия, соответствующие коду НКМИ</w:t>
        <w:br/>
        <w:t>349160, в то время как п.15 описания объектов закупки предусматривает закупку</w:t>
        <w:br/>
        <w:t>медицинского изделия кода НКМИ 212430, что не соответствует требованиям</w:t>
        <w:br/>
        <w:t>Постановления №620. По мнению Заявителя, Заказчиком изменено наименование</w:t>
        <w:br/>
        <w:t>п.15 описания объектов закупки, однако такое требование, как требованние к</w:t>
        <w:br/>
        <w:t>наличию градуировки U-100, подтверждает соответствие изделия именно коду</w:t>
        <w:br/>
        <w:t>НКМИ 212430.</w:t>
        <w:br/>
        <w:t>В силу п.1 ч.2 с 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2025-1336</w:t>
        <w:br/>
        <w:t>3</w:t>
        <w:br/>
        <w:t>П.2 ч.29 ст.34 Закона о контрактной системе установлено, что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</w:r>
    </w:p>
    <w:p>
      <w:r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  <w:br/>
        <w:t>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 от</w:t>
        <w:br/>
        <w:t>50 млн. рублей до 100 млн. рублей;</w:t>
        <w:br/>
        <w:t>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  <w:br/>
        <w:t>При этом п.2 Постановления №620 установлено, что указанное в п.1</w:t>
        <w:br/>
        <w:t>Постановления №620 требование не применяется:</w:t>
        <w:br/>
        <w:t>при закупках медицинских изделий, объединенных в один лот (контракт) по</w:t>
        <w:br/>
        <w:t>контрактам жизненного цикла, заключаемым в случаях, установленных</w:t>
        <w:br/>
        <w:t>Правительством Российской Федерации;</w:t>
        <w:br/>
        <w:t>при закупках медицинских изделий, объединенных в один лот (контракт) с</w:t>
        <w:br/>
        <w:t>расходными материалами, которые совместимы с такими медицинскими изделиями;</w:t>
        <w:br/>
        <w:t>при закупках медицинских изделий, по результатам которых заключается</w:t>
        <w:br/>
        <w:t>контракт со встречными инвестиционными обязательствами в соответствии со ст.</w:t>
        <w:br/>
        <w:t>111.4 Закона о контрактной системе .</w:t>
        <w:br/>
        <w:t>Комиссией Управления установлено, согласно извещению о проведении</w:t>
        <w:br/>
        <w:t>электронного аукциона, начальная (максимальная) цена контракта составляет</w:t>
        <w:br/>
        <w:t>15 000 000,00 руб.</w:t>
        <w:br/>
        <w:t>Согласно Приложению № 1 к приказу Министерства здравоохранения</w:t>
        <w:br/>
        <w:t>Российской Федерации от 6 июня 2012 года № 4н «Об утверждении</w:t>
        <w:br/>
        <w:t>номенклатурной классификации медицинских изделий» (далее - Номенклатурная</w:t>
        <w:br/>
        <w:t>классификация) номенклатурная классификация медицинских изделий по видам</w:t>
        <w:br/>
        <w:t>(далее - классификация) содержит числовое обозначение вида медицинского</w:t>
        <w:br/>
        <w:t>изделия - идентификационный уникальный номер записи*, наименование вида</w:t>
        <w:br/>
        <w:t>медицинского изделия, описание вида медицинского изделия, содержащее</w:t>
        <w:br/>
        <w:t>соответствующие классификационные признаки вида медицинского изделия,</w:t>
        <w:br/>
        <w:t>указываемые в зависимости от назначения медицинского изделия.</w:t>
        <w:br/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</w:r>
    </w:p>
    <w:p>
      <w:r>
        <w:t>2025-1336</w:t>
        <w:br/>
        <w:t>4</w:t>
        <w:br/>
        <w:t>На заседании Комиссией Управления установлено, что в перечне информации</w:t>
        <w:br/>
        <w:t>об объекте закупки Изменения извещения о проведении электронного аукциона от</w:t>
        <w:br/>
        <w:t>26.12.2024 №ИИ2 необходимые к поставке товары подразделяются, в том числе,</w:t>
        <w:br/>
        <w:t>например, на следующие виды медицинских изделий:</w:t>
        <w:br/>
        <w:t>- п.1-14 «Шприц общего назначения» позиции КТРУ 32.50.13.110-00004565 и</w:t>
        <w:br/>
        <w:t>кода ОКПД2 32.50.13.110 , соответствующие коду НКМИ 349160 «Шприц общего</w:t>
        <w:br/>
        <w:t>назначения/в комплекте с иглой»;</w:t>
        <w:br/>
        <w:t>- п.15 «Шприц общего назначения» позиции КТРУ 32.50.13.110-00004563 и</w:t>
        <w:br/>
        <w:t>код ОКПД2 32.50.13.110 , соответствующие коду НКМИ 349160 «Шприц общего</w:t>
        <w:br/>
        <w:t>назначения/в комплекте с иглой» .</w:t>
        <w:br/>
        <w:t>Комиссия Управления отмечает, ч то согласно номенклатурной классификации</w:t>
        <w:br/>
        <w:t>каждый отдельный вид медицинского изделия обладает уникальным</w:t>
        <w:br/>
        <w:t>идентификационным номером записи в формате шестизначного кода, при этом</w:t>
        <w:br/>
        <w:t>номенклатурная классификация также содержит классификации видов медицинских</w:t>
        <w:br/>
        <w:t>изделий по группам и подгруппам, при этом Постановлением № 620 однозначно</w:t>
        <w:br/>
        <w:t>указано, что предметом одного ко нтракта (одного лота) не могут быть медицинские</w:t>
        <w:br/>
        <w:t>изделия различных видов.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вопреки доводам жалобы все закупаемые шприцы имеют код НКМИ 349160 «Шприц</w:t>
        <w:br/>
        <w:t>общего назначения/в комплекте с иглой».</w:t>
        <w:br/>
        <w:t>Таким образом, представитель Заказчика отмечает, что оспариваемая закупка</w:t>
        <w:br/>
        <w:t>указанных шприцов в рамках одного лота не противоречит положениям</w:t>
        <w:br/>
        <w:t>Постановления №620 и Закону о контрактной системе, ввиду чего лот сформирован</w:t>
        <w:br/>
        <w:t>правомерно.</w:t>
        <w:br/>
        <w:t>Доказательств обратного Заявителем в составе жалобы не представлено.</w:t>
        <w:br/>
        <w:t>При таких обстоятельствах Комиссия Управления приходит к выводу о</w:t>
        <w:br/>
        <w:t>правомерном формировании лота.</w:t>
        <w:br/>
        <w:t>Между тем в ходе проведения внеплановой проверки Комиссией Управления</w:t>
        <w:br/>
        <w:t>установлено следующее.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</w:r>
    </w:p>
    <w:p>
      <w:r>
        <w:t>государственных и муниципальных нужд.</w:t>
        <w:br/>
        <w:t>2025-1336</w:t>
        <w:br/>
        <w:t>5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 № 145</w:t>
        <w:br/>
        <w:t>(далее — Постановление № 145) утверждены Правила формирования и ведения в</w:t>
        <w:br/>
        <w:t>единой 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подпунктами «б» -</w:t>
        <w:br/>
        <w:t>«и» п.10 Правил формирования 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</w:t>
        <w:br/>
        <w:t>о контрактной системе, которые не предусмотрены в позиции каталога, за</w:t>
        <w:br/>
        <w:t>исключением случаев, установленных пп. «а», «б» п.5 Правил использования</w:t>
        <w:br/>
        <w:t>КТРУ 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 КТРУ 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следует, что в случае</w:t>
      </w:r>
    </w:p>
    <w:p>
      <w:r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 33 Закона о контрактной</w:t>
        <w:br/>
        <w:t>системе. При проведении предусмотренных Законом контрактной системе</w:t>
        <w:br/>
        <w:t>электронных процедур, закрытых электронных процедур характеристики объекта</w:t>
        <w:br/>
        <w:t>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2025-1336</w:t>
        <w:br/>
        <w:t>6</w:t>
        <w:br/>
        <w:t>Комиссией Управления установлено, что в составе структурированной</w:t>
        <w:br/>
        <w:t>формы извещения, сформированной с использованием ЕИС, Заказчиком</w:t>
        <w:br/>
        <w:t>установлены требования к характеристикам необходимых к поставке товара по</w:t>
        <w:br/>
        <w:t>п.15 «Шприц общего назначения» позиции КТРУ 32.50.13.110-00004563, в</w:t>
        <w:br/>
        <w:t>частности, следующим образом :</w:t>
        <w:br/>
        <w:t>раздел «Наименование товара, работы, услуги»: «Шприц общего</w:t>
        <w:br/>
        <w:t>назначения</w:t>
        <w:br/>
        <w:t>Идентификатор: 171148047»,</w:t>
        <w:br/>
        <w:t>раздел «Характеристики товара, работы, услуги ( Шприц общего</w:t>
        <w:br/>
        <w:t>назначения)»:</w:t>
        <w:br/>
        <w:t>«Градуированный объем шприца: &gt; 0.75 и ≤ 1 Кубический</w:t>
        <w:br/>
        <w:t>сантиметр;^миллилитр»,</w:t>
        <w:br/>
        <w:t>«Игла насажена на конус (доступно при выборе Игла в комплекте – одна и</w:t>
        <w:br/>
        <w:t>более или две и более или три): Да»,</w:t>
        <w:br/>
        <w:t>«Конус с концентрическим расположением: Да»,</w:t>
        <w:br/>
        <w:t>«Игла в комплекте: Одна и более»,</w:t>
        <w:br/>
        <w:t>«Коннектор: Луер Слип»,</w:t>
        <w:br/>
        <w:t>«Возможность соединения с катетером: Да»,</w:t>
        <w:br/>
        <w:t>«Тип шприца: Трехкомпонентный»,</w:t>
        <w:br/>
        <w:t>«Диаметр иглы: ≥ 0.4 Миллиметр»,</w:t>
        <w:br/>
        <w:t>«Конструктивные особенности: Градуировка на цилиндре шприца»,</w:t>
        <w:br/>
        <w:t>«Требования к составу материала: Без латекса»,</w:t>
        <w:br/>
        <w:t>«Минимальный остаточный срок годности на дату поставки: ≥ 12</w:t>
        <w:br/>
        <w:t>Месяц»,</w:t>
        <w:br/>
        <w:t>«Требования к упаковке: Стерильная»,</w:t>
        <w:br/>
        <w:t>«Длина иглы: ≥ 12 Миллиметр».</w:t>
        <w:br/>
        <w:t>При этом в отношении требований, указанных в разделе «Характеристики</w:t>
        <w:br/>
        <w:t>товара, работы, услуги ( Шприц общего назначения), также представлена</w:t>
        <w:br/>
        <w:t>инструкция по заполнению характеристики, например, «Игла насажена на конус</w:t>
        <w:br/>
        <w:t>(доступно при выборе Игла в комплекте – одна и более или две и более или три):</w:t>
        <w:br/>
        <w:t>Да»: «Инструкция по заполнению характеристик в заявке: Значение</w:t>
        <w:br/>
        <w:t>характеристики не может изменяться участником закупки».</w:t>
      </w:r>
    </w:p>
    <w:p>
      <w:r>
        <w:t>Наряду с этим Комиссией Управления установлено, что Заказчиком в</w:t>
        <w:br/>
        <w:t>составе извещения в разделе «Обоснование включения дополнительной</w:t>
        <w:br/>
        <w:t>информации в сведения о товаре, работе, услуге» по указанной позиции отражено</w:t>
        <w:br/>
        <w:t>следующее: «Соответствует описанию КТРУ. Тип шприца-наличие манжеты</w:t>
        <w:br/>
        <w:t>позволяет медленное и плавное введение лекарственного средства, что делает</w:t>
        <w:br/>
        <w:t>инъекцию менее болезненной, минимизирует риск травматизации. Градуировка</w:t>
        <w:br/>
        <w:t>U-100- наличие-соответствует потребности Заказчика (необходимость для</w:t>
        <w:br/>
        <w:t>концентраций инсулина (п.8 ГОСТ ISO 8537-2011)). Игла тонкостенная с</w:t>
        <w:br/>
        <w:t>трёхгранной лазерной заточкой и силиконовым покрытием игла для</w:t>
        <w:br/>
        <w:t>атравматического введения и снижения болезненности при проникновении в</w:t>
        <w:br/>
        <w:t>ткани. Коннектор-Луер Слип, для использования при проведении подкожных,</w:t>
        <w:br/>
        <w:t>2025-1336</w:t>
        <w:br/>
        <w:t>7</w:t>
        <w:br/>
        <w:t>внутрикожных, внутримышечных, внутривенных инъекций. Минимальный</w:t>
        <w:br/>
        <w:t>остаточный срок годности на дату поставки-требования действующего</w:t>
        <w:br/>
        <w:t>законодательства; потребность заказчика с учетом планируемого срока</w:t>
        <w:br/>
        <w:t>потребления товара при организации оказания медицинской помощи. ».</w:t>
        <w:br/>
        <w:t>На заседании Комиссии Управления представитель Заказчика не отрицал</w:t>
        <w:br/>
        <w:t>того факта, что в разделе обоснования включения дополнительных характеристик</w:t>
        <w:br/>
        <w:t>содержатся требования к закупаемому шприцу, необходимые для удовлетворения</w:t>
        <w:br/>
        <w:t>потребности Заказчика, например, требование «Градуировка U-100- наличие».</w:t>
        <w:br/>
        <w:t>Представитель Заказчика также уточнил, что подобное формирование описание</w:t>
        <w:br/>
        <w:t>закупаемого объекта связано с невозможностью указания всех необходимых</w:t>
        <w:br/>
        <w:t>характеристик в соответствующем разделе характеристик.</w:t>
        <w:br/>
        <w:t>При таких обстоятельствах Комиссия Управления отмечает, что в составе</w:t>
        <w:br/>
        <w:t>структурированной формы извещения информация о части характеристик</w:t>
        <w:br/>
        <w:t>указана в разделе «Обоснование включения дополнительной информации в</w:t>
        <w:br/>
        <w:t>сведения о товаре, работе, услуге», при этом в отношении таких характеристик</w:t>
        <w:br/>
        <w:t>отсутствуют графы, позволяющие представить значение по таким</w:t>
        <w:br/>
        <w:t>характеристикам, а также отсутствует инструкция по предоставлению сведений о</w:t>
        <w:br/>
        <w:t>таких характеристик, более того, характеристики указанные в обосновании</w:t>
        <w:br/>
        <w:t>противоречат характеристикам указанным в разделах «Наименование</w:t>
        <w:br/>
        <w:t>характеристики», «Значение характеристики».</w:t>
        <w:br/>
        <w:t>Таким образом, Комиссия Управления приходит к выводу, что Заказчиком не</w:t>
        <w:br/>
        <w:t>исполнено надлежащим образом требование об указ ании требований к товарам с</w:t>
        <w:br/>
        <w:t>использованием единой информационной системы при формировании извещения</w:t>
        <w:br/>
        <w:t>об осуществлении закупки, поскольку часть характеристик отсутствует в разделе</w:t>
        <w:br/>
        <w:t>«Характеристики товара, работы, услуги».</w:t>
        <w:br/>
        <w:t>Более того, раздел «Обоснование включения дополнительной информации в</w:t>
      </w:r>
    </w:p>
    <w:p>
      <w:r>
        <w:t>сведения о товаре, работе, услуге» по своей сути относится непосредственно к</w:t>
        <w:br/>
        <w:t>самому обоснованию использования характеристик не предусмотренных КТРУ</w:t>
        <w:br/>
        <w:t>по исполнение п.6 Правил пользования КТРУ .</w:t>
        <w:br/>
        <w:t>Вместе с этим Комиссия Управления отмечает, что размещенное в составе</w:t>
        <w:br/>
        <w:t>описания объекта закупки обоснование необходимости использования</w:t>
        <w:br/>
        <w:t>дополнительной информации не соответствует п.6 Правил использования КТРУ ,</w:t>
        <w:br/>
        <w:t>так как содержит в себе требования к товарам, которые в свою очередь</w:t>
        <w:br/>
        <w:t>отсутствуют в разделе «Характеристики товара, работы, услуги».</w:t>
        <w:br/>
        <w:t>Таким образом, Заказчику во исполнение требований п.5 ч.1 ст.42 Закона о</w:t>
        <w:br/>
        <w:t>контрактной системе, Правил пользования КТРУ надлежало отразить все</w:t>
        <w:br/>
        <w:t>значимые характеристики закупаемых товаров в разделе «Характеристики товара,</w:t>
        <w:br/>
        <w:t>работы, услуги» с указанием в соответствующих графах наименования</w:t>
        <w:br/>
        <w:t>характеристик, значение характеристик, единиц ы измерения характеристик,</w:t>
        <w:br/>
        <w:t>инструкцию по заполнению характеристик в заявке, а в разделе «Обоснование</w:t>
        <w:br/>
        <w:t>включения дополнительной информации в сведения о товаре, работе, услуге»</w:t>
        <w:br/>
        <w:t>отразить исключительно обоснование таких характеристик, в случае, если они</w:t>
        <w:br/>
        <w:t>не предусмотрены используемой Заказчиком позицией КТРУ , чего Заказчиком</w:t>
        <w:br/>
        <w:t>2025-1336</w:t>
        <w:br/>
        <w:t>8</w:t>
        <w:br/>
        <w:t>сделано не было.</w:t>
        <w:br/>
        <w:t>Исходя из вышеизложенного Комиссия Управления приходит к выводу, что</w:t>
        <w:br/>
        <w:t>положения извещения сформированы Заказчиком таким образом, что не</w:t>
        <w:br/>
        <w:t>позволяют участникам закупки корректно определить потребность Заказчика, а</w:t>
        <w:br/>
        <w:t>также представить сведения о поставляем ых изделиях надлежащим образом,</w:t>
        <w:br/>
        <w:t>посредством заполнения сведений, указанных в структурированной формы</w:t>
        <w:br/>
        <w:t>извещения, размещенной в соответствии ч.1 ст.42 Закона о контрактной системе.</w:t>
        <w:br/>
        <w:t>Таким образом, на основании имеющихся документов и сведений, Комиссия</w:t>
        <w:br/>
        <w:t>Управления приходит к выводу о нарушении Заказчиком положений ч.6 ст.23, ч.1</w:t>
        <w:br/>
        <w:t>ст.33, п.5 ч.1 ст.42 Закона о контрактной системе при формировании описания</w:t>
        <w:br/>
        <w:t>объекта закупки, что также свидетельствует о наличии в действиях Заказчика</w:t>
        <w:br/>
        <w:t>признаков состава административного правонарушения, ответственность за которое</w:t>
        <w:br/>
        <w:t>предусмотрена 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2025-1336</w:t>
        <w:br/>
        <w:t>9</w:t>
        <w:br/>
        <w:t>РЕШИЛА:</w:t>
        <w:br/>
        <w:t>1. Признать жалобу ООО «СОФ «БАРО» на действия ГБУЗ «ГВВ № 3 ДЗМ»</w:t>
        <w:br/>
        <w:t>обоснованной.</w:t>
      </w:r>
    </w:p>
    <w:p>
      <w:r>
        <w:t>2.Признать в действиях Заказчика нарушение ч.6 ст.23, ч.1 ст.33, п.5 ч.1 ст.42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установленным</w:t>
        <w:br/>
        <w:t>гл. 24 АПК РФ.</w:t>
        <w:br/>
        <w:t>Председательствующий А.А. Кутейников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2025-1336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ГБУЗ «ГВВ № 3 ДЗМ»</w:t>
        <w:br/>
        <w:t>SkorkinSA@zdrav.mos.ru</w:t>
        <w:br/>
        <w:t>ООО «СОФ «БАРО»</w:t>
        <w:br/>
        <w:t>soft_baro@mail.ru</w:t>
        <w:br/>
        <w:t>ПРЕДПИСАНИЕ</w:t>
        <w:br/>
        <w:t>по делу № 077/06/106-86/2025 об устранении нарушений</w:t>
        <w:br/>
        <w:t>законодательства о контрактной системе</w:t>
        <w:br/>
        <w:t>14.01.2025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главного государственного инспектора отдела об -</w:t>
        <w:br/>
        <w:t>жалования государственных закупок А.А. Кутейникова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14.01.2025 по делу 077/06/106-86/2025 ,</w:t>
        <w:br/>
        <w:t>по итогам рассмотрения жалобы ООО «СОФ «БАРО» (далее — Заявитель) на</w:t>
        <w:br/>
        <w:t>действия ГБУЗ «ГВВ № 3 ДЗМ» (далее — Заказчик) при проведении электронного</w:t>
        <w:br/>
        <w:t>аукциона на право заключения государственного контракта на поставку шприцев для</w:t>
        <w:br/>
        <w:t>нужд ГБУЗ «ГВВ №3 ДЗМ» (Закупка № 0373200056424000349)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2025-1331</w:t>
        <w:br/>
        <w:t>2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14.01.2025 по</w:t>
        <w:br/>
        <w:t>делу № 077/06/106-86/2025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14.01.2025 по делу 077/06/106-</w:t>
        <w:br/>
        <w:t>86/2025.</w:t>
        <w:br/>
        <w:t>6. Заказчику, аукционной комиссии в срок до 14.02.2025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2025-1331</w:t>
        <w:br/>
        <w:t>3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14.01.2025 по делу № 077/06/106-86/2025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А.А. Кутейников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2025-1331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