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202500132489000273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17.01.2025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0373200067024001087</w:t>
      </w:r>
    </w:p>
    <w:p>
      <w:r>
        <w:rPr>
          <w:b/>
        </w:rPr>
        <w:t xml:space="preserve">Заказчик: </w:t>
      </w:r>
      <w:r>
        <w:t>ГБУЗ города Москвы «Научно-исследовательский институт скорой помощи им. Н.В. Склифосовского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«Печатное мастерство»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https://zakupki.gov.ru/epz/complaint/card/complaint-information.html?complaintNumber=202500132489000273</w:t>
      </w:r>
    </w:p>
    <w:p/>
    <w:p>
      <w:pPr>
        <w:pStyle w:val="Heading1"/>
      </w:pPr>
      <w:r>
        <w:t>Решение</w:t>
      </w:r>
    </w:p>
    <w:p>
      <w:r>
        <w:t>ГБУЗ «НИИ СП им Н. В.</w:t>
        <w:br/>
        <w:t>Склифосовского ДЗМ»</w:t>
        <w:br/>
        <w:t>GurovaYM@sklif.mos.ru</w:t>
        <w:br/>
        <w:t>ООО «Печатное Мастерство»</w:t>
        <w:br/>
        <w:t>printmastender@ya.ru</w:t>
        <w:br/>
        <w:t>АО«ЕЭТП»</w:t>
        <w:br/>
        <w:t>ko@roseltorg.ru</w:t>
        <w:br/>
        <w:t>РЕШЕНИЕ</w:t>
        <w:br/>
        <w:t>по делу №077/06/106-550/2025 о нарушении</w:t>
        <w:br/>
        <w:t>законодательства о контрактной системе</w:t>
        <w:br/>
        <w:t>20.01.2025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заместителя начальника отдела обжалования</w:t>
        <w:br/>
        <w:t>государственных закупок Е.А. Мироновой,</w:t>
        <w:br/>
        <w:t>Членов Комиссии:</w:t>
        <w:br/>
        <w:t>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А.И. Рахматуллаева,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ГБУЗ «НИИ СП им Н. В. Склифосовского ДЗМ»: Бенке С.П. (дов.№728 от</w:t>
        <w:br/>
        <w:t>06.08.2024),</w:t>
        <w:br/>
        <w:t>ООО «Печатное Мастерство»: Соколова С.С. (дов.№16.01.25 от 16.01.2025),</w:t>
        <w:br/>
        <w:t>рассмотрев жалобу ООО «Печатное Мастерство» (далее — Заявитель) на</w:t>
        <w:br/>
        <w:t>действия ГБУЗ «НИИ СП им Н. В. Склифосовского ДЗМ»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расходных материалов для периферийного оборудования</w:t>
        <w:br/>
        <w:t>медико- информационного комплекса ГБУЗ «НИИ СП им Н. В. Склифосовского</w:t>
        <w:br/>
        <w:t>ДЗМ» (Закупка № 0373200067024001087) (далее – аукцион 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2025-2524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</w:t>
        <w:br/>
        <w:t>системе.</w:t>
        <w:br/>
        <w:t>В составе жалобы Заявитель указывает, что Заказчиком в составе извещения, в</w:t>
        <w:br/>
        <w:t>нарушение п.1 ч.1 ст.33 Закона о контрактной системе, установлены требования к</w:t>
        <w:br/>
        <w:t>ряду закупаемых позиций о поставке исключительно оригинальных расходных</w:t>
        <w:br/>
        <w:t>матераилов без возможности поставки эквивалентной продукции наряду с</w:t>
        <w:br/>
        <w:t>позициями, для которых возможно предложить к поставке совместимую</w:t>
        <w:br/>
        <w:t>продукцию.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</w:r>
    </w:p>
    <w:p>
      <w:r>
        <w:t>Ч.1 ст.33 Закона о контрактной системе установлено, что Заказчик в случаях,</w:t>
        <w:br/>
        <w:t>предусмотренных Законом о контрактной системе, при описании объекта закупки</w:t>
        <w:br/>
        <w:t>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Федерации;</w:t>
        <w:br/>
        <w:t>2025-2524</w:t>
        <w:br/>
        <w:t>3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</w:r>
    </w:p>
    <w:p>
      <w:r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  <w:br/>
        <w:t>обозначения и терминология, в таком описании должно содержаться обоснование</w:t>
        <w:br/>
        <w:t>необходимости использования других показателей, требований, условных</w:t>
        <w:br/>
        <w:t>обозначений и терминологии.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Комиссией Управления установлено, что в описании объекта закупки</w:t>
        <w:br/>
        <w:t>Заказчиком установлены требования к закупаемым товарам, например:</w:t>
        <w:br/>
        <w:t>-по позиции 4 « Картридж для электрографических печатающих</w:t>
        <w:br/>
        <w:t>устройств»: «Товарный знак производителя оргтехники: Hewlett-Packard».</w:t>
        <w:br/>
        <w:t>«Требование оригинальности комплектующего изделия/ расходного материала:</w:t>
        <w:br/>
        <w:t>Оригинальный(ая)»;</w:t>
        <w:br/>
        <w:t>-по позиции 7 « Барабан (фотобарабан/ фотокондуктор/ фоторецептор)</w:t>
        <w:br/>
        <w:t>для лазерных принтеров»: «Товарный знак производителя оргтехники: Xerox».</w:t>
        <w:br/>
        <w:t>«Требование оригинальности комплектующего изделия/ расходного материала:</w:t>
        <w:br/>
        <w:t>Оригинальный(ая)»;</w:t>
        <w:br/>
        <w:t>-по позиции 9 « Картридж для электрографических печатающих</w:t>
        <w:br/>
        <w:t>устройств»: «Товарный знак производителя оргтехники: Kyocera».</w:t>
        <w:br/>
        <w:t>«Требование оригинальности комплектующего изделия/ расходного материала:</w:t>
        <w:br/>
        <w:t>Оригинальный(ая)»;</w:t>
        <w:br/>
        <w:t>-по позиции 11 « Картридж для электрографических печатающих</w:t>
        <w:br/>
        <w:t>устройств»: «Товарный знак производителя оргтехники: Kyocera».</w:t>
        <w:br/>
        <w:t>«Требование оригинальности комплектующего изделия/ расходного материала:</w:t>
        <w:br/>
        <w:t>Оригинальный(ая)»;</w:t>
        <w:br/>
        <w:t>-по позиции 12 - 14 « Картридж для электрографических печатающих</w:t>
        <w:br/>
        <w:t>устройств»: «Товарный знак производителя оргтехники: Kyocera».</w:t>
        <w:br/>
        <w:t>2025-2524</w:t>
        <w:br/>
        <w:t>4</w:t>
        <w:br/>
        <w:t>«Требование оригинальности комплектующего изделия/ расходного материала:</w:t>
        <w:br/>
        <w:t>Оригинальный(ая)».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готов заменить все позиции оригинальных расходных материалов на совместимые,</w:t>
        <w:br/>
        <w:t>кроме п.4 «Картридж для электрографических печатающих устройств», так как для</w:t>
      </w:r>
    </w:p>
    <w:p>
      <w:r>
        <w:t>нормальной работы крайне необходимы оригинальные картриджи с чипами,</w:t>
        <w:br/>
        <w:t>которые определяют остатки страниц (у совместимых картриджей с чипами</w:t>
        <w:br/>
        <w:t>данный функционал отсутствует).</w:t>
        <w:br/>
        <w:t>В соответствии с пп.«в» п.1 ч.1 ст.33 Закона о контрактной системе</w:t>
        <w:br/>
        <w:t>допускается использование в описании объекта закупки указания на товарный знак</w:t>
        <w:br/>
        <w:t>в случае осуществления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оборудование.</w:t>
        <w:br/>
        <w:t>Вместе с тем, на заседании Комиссии Управления представителем Заказчика</w:t>
        <w:br/>
        <w:t>не представлено документов, указывающих на необходимость использования</w:t>
        <w:br/>
        <w:t>Заказчиком исключительно оригинальных картриджей при эксплуатации</w:t>
        <w:br/>
        <w:t>имеющегося у Заказчика оборудования. В частности, не представлено технической</w:t>
        <w:br/>
        <w:t>документации на оборудование Заказчика, содержащей указание на совместимость</w:t>
        <w:br/>
        <w:t>оборудования исключительно с оригинальными картриджами, а также не</w:t>
        <w:br/>
        <w:t>представлено сведений, указывающих на то, что оборудования Заказчика находится</w:t>
        <w:br/>
        <w:t>на гарантийном обслуживании производителя или поставщика и условия такого</w:t>
        <w:br/>
        <w:t>обслуживания, что не позволяет Комиссии Управления прийти к выводу о том, что</w:t>
        <w:br/>
        <w:t>в данном случае Заказчик обязан использовать исключительно оригинальные</w:t>
        <w:br/>
        <w:t>картриджи, которые необходимы к закупке.</w:t>
        <w:br/>
        <w:t>Комиссия Управления отмечает, что если у Заказчика имеются определенные</w:t>
        <w:br/>
        <w:t>обоснованные потребности в получении тех или иных товаров, он вправе</w:t>
        <w:br/>
        <w:t>устанавливать соответствующие требования к товарам, но таким образом, чтобы</w:t>
        <w:br/>
        <w:t>такие требования соответствовали требованиям с.33 Закона о контрактной системе,</w:t>
        <w:br/>
        <w:t>не ограничивали количество участников закупки, и в составе одного лота не</w:t>
        <w:br/>
        <w:t>закупались наряду с товарами, производимыми неограниченным кругом</w:t>
        <w:br/>
        <w:t>производителей уникальные товары единственного производителя, отсутствующие</w:t>
        <w:br/>
        <w:t>в свободном доступе, в том числе для приобретения которых необходимо</w:t>
        <w:br/>
        <w:t>заключать определенные договоры и соглашения с производителем оборудования.</w:t>
        <w:br/>
        <w:t>Комиссия Управления также отмечает, что в случае, если при закупке товаров</w:t>
        <w:br/>
        <w:t>среди требуемых к поставке позиций присутствует хотя бы один товар, требования</w:t>
        <w:br/>
        <w:t>к характеристикам которого установлены таким образом, что совокупности таких</w:t>
        <w:br/>
        <w:t>требований отвечает только товар единственного производителя, то положения</w:t>
        <w:br/>
        <w:t>документации о такой закупке имеют признаки ограничения количества участников</w:t>
      </w:r>
    </w:p>
    <w:p>
      <w:r>
        <w:t>закупки, так как закупить и поставить уникальный товар имеет возможность только</w:t>
        <w:br/>
        <w:t>2025-2524</w:t>
        <w:br/>
        <w:t>5</w:t>
        <w:br/>
        <w:t>ограниченный круг лиц, имеющий с производителем такого товара партнерские</w:t>
        <w:br/>
        <w:t>отношения и/или иные договоры о сотрудничестве.</w:t>
        <w:br/>
        <w:t>На основании вышеизложенного, в случае невозможности участников</w:t>
        <w:br/>
        <w:t>закупки закупить и поставить требуемые Заказчику уникальные позиции наряду с</w:t>
        <w:br/>
        <w:t>иными товарами, указанная закупка будет проведена только для лиц, имеющих</w:t>
        <w:br/>
        <w:t>договорные отношения с определенным производителем товара, что</w:t>
        <w:br/>
        <w:t>непосредственно является ограничением круга потенциальных участников закупки,</w:t>
        <w:br/>
        <w:t>что напрямую запрещается нормами ст.33 Закона о контрактной системе.</w:t>
        <w:br/>
        <w:t>На основе вышеизложенного, Комиссия Управления приходит к выводу о</w:t>
        <w:br/>
        <w:t>нарушении Заказчиком положений п.1 ч.1 ст.33 Закона о контрактной системе при</w:t>
        <w:br/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</w:t>
        <w:br/>
        <w:t>ч.4.1 ст.7.30 Кодекса Российской Федерации об административных</w:t>
        <w:br/>
        <w:t>правонарушениях.</w:t>
        <w:br/>
        <w:t>Исследовав представленные материалы, Законом о контрактной системе,</w:t>
        <w:br/>
        <w:t>Комиссия Управления</w:t>
        <w:br/>
        <w:t>2025-2524</w:t>
        <w:br/>
        <w:t>6</w:t>
        <w:br/>
        <w:t>Р Е Ш И Л А:</w:t>
        <w:br/>
        <w:t>1.Признать жалоб у ООО «Печатное Мастерство» на действия ГБУЗ</w:t>
        <w:br/>
        <w:t>«НИИ СП им Н. В. Склифосовского ДЗМ» обоснованн ой.</w:t>
        <w:br/>
        <w:t>2.Признать в действиях Заказчика нарушения п.1 ч.1 ст.33 Закона о</w:t>
        <w:br/>
        <w:t>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Е.А. Миронова</w:t>
        <w:br/>
        <w:t>Члены Комиссии:</w:t>
        <w:br/>
        <w:t>М.В. Сорбучева</w:t>
        <w:br/>
        <w:t>А.И. Рахматуллаев</w:t>
        <w:br/>
        <w:t>Исп.Рахматуллаев А.И.</w:t>
        <w:br/>
        <w:t>тел.+7 495 784 75 05</w:t>
        <w:br/>
        <w:t>2025-2524</w:t>
      </w:r>
    </w:p>
    <w:p>
      <w:pPr>
        <w:pStyle w:val="Heading1"/>
      </w:pPr>
      <w:r>
        <w:t>Предписание</w:t>
      </w:r>
    </w:p>
    <w:p>
      <w:r>
        <w:t>ГБУЗ «НИИ СП им Н. В.</w:t>
        <w:br/>
        <w:t>Склифосовского ДЗМ»</w:t>
        <w:br/>
        <w:t>GurovaYM@sklif.mos.ru</w:t>
        <w:br/>
        <w:t>ООО «Печатное Мастерство»</w:t>
        <w:br/>
        <w:t>printmastender@ya.ru</w:t>
        <w:br/>
        <w:t>АО«ЕЭТП»</w:t>
        <w:br/>
        <w:t>ko@roseltorg.ru</w:t>
        <w:br/>
        <w:t>ПРЕДПИСАНИЕ</w:t>
        <w:br/>
        <w:t>по делу № 077/06/106-550/2025 об устранении нарушений</w:t>
        <w:br/>
        <w:t>законодательства о контрактной системе</w:t>
        <w:br/>
        <w:t>20.01.2025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 государ -</w:t>
        <w:br/>
        <w:t>ственных закупок Е.А. Мироновой,</w:t>
        <w:br/>
        <w:t>Членов Комиссии:</w:t>
        <w:br/>
        <w:t>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А.И. Рахматуллаева,</w:t>
        <w:br/>
        <w:t>на основании решения Комиссии от 20.01.2025 по делу 077/06/106-550/2025 ,</w:t>
        <w:br/>
        <w:t>по итогам рассмотрения жалобы ООО «Печатное Мастерство» (далее — Заявитель)</w:t>
        <w:br/>
        <w:t>на действия ГБУЗ «НИИ СП им Н. В. Склифосовского ДЗМ» (далее — Заказчик)</w:t>
        <w:br/>
        <w:t>при проведении электронного аукциона на право заключения государственного</w:t>
        <w:br/>
        <w:t>контракта на поставку расходных материалов для периферийного оборудования</w:t>
        <w:br/>
        <w:t>медико- информационного комплекса ГБУЗ «НИИ СП им Н. В. Склифосовского</w:t>
        <w:br/>
        <w:t>ДЗМ» (Закупка № 0373200067024001087) (далее – аукцион)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2025-2565</w:t>
        <w:br/>
        <w:t>2</w:t>
        <w:br/>
        <w:t>ПРЕДПИСЫВАЕТ:</w:t>
        <w:br/>
        <w:t>1. Заказчику, Аукционной комиссии отменить протокол подведения итогов</w:t>
        <w:br/>
        <w:t>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</w:r>
    </w:p>
    <w:p>
      <w:r>
        <w:t>- привести Извещение о проведении электронного аукциона в соответствие с</w:t>
        <w:br/>
        <w:t>требованиями Закона о контрактной системе и с учетом решения от 20.01.2025 по</w:t>
        <w:br/>
        <w:t>делу № 077/06/106-550/2025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уведомить участников закупки, подавших заявки на участие в Аукционе, в том</w:t>
        <w:br/>
        <w:t>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5.Заказчику, Аукционной комиссии, Оператору электронной площадки</w:t>
        <w:br/>
        <w:t>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20.01.2025 по делу 077/06/106-</w:t>
        <w:br/>
        <w:t>550/2025.</w:t>
        <w:br/>
        <w:t>6. Заказчику, Аукционной комиссии в срок до 20.02.2025 представить в</w:t>
        <w:br/>
        <w:t>Московское УФАС России подтверждение исполнения настоящего п редписания в</w:t>
        <w:br/>
        <w:t>письменном виде или по факсимильной связи (8(495) 607-42-92) или электронной</w:t>
        <w:br/>
        <w:t>2025-2565</w:t>
        <w:br/>
        <w:t>3</w:t>
        <w:br/>
        <w:t>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</w:r>
    </w:p>
    <w:p>
      <w:r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20.01.2025 по делу № 077/06/106-550/2025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гл. 24 АПК РФ.</w:t>
        <w:br/>
        <w:t>Председательствующий Е.А. Миронова</w:t>
        <w:br/>
        <w:t>Члены комиссии:</w:t>
        <w:br/>
        <w:t>М.В. Сорбучева</w:t>
        <w:br/>
        <w:t>А.И. Рахматуллаев</w:t>
        <w:br/>
        <w:t>Исп.Рахматуллаев А.И.</w:t>
        <w:br/>
        <w:t>тел.+7 495 784 75 05</w:t>
        <w:br/>
        <w:t>2025-2565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