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202500132489001264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04.02.2025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0373200056425000004</w:t>
      </w:r>
    </w:p>
    <w:p>
      <w:r>
        <w:rPr>
          <w:b/>
        </w:rPr>
        <w:t xml:space="preserve">Заказчик: </w:t>
      </w:r>
      <w:r>
        <w:t>ГБУЗ города Москвы «Госпиталь для ветеранов войн №3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консультативно-методический центр «Здравэксперт»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https://zakupki.gov.ru/epz/complaint/card/complaint-information.html?complaintNumber=202500132489001264</w:t>
      </w:r>
    </w:p>
    <w:p/>
    <w:p>
      <w:pPr>
        <w:pStyle w:val="Heading1"/>
      </w:pPr>
      <w:r>
        <w:t>Решение</w:t>
      </w:r>
    </w:p>
    <w:p>
      <w:r>
        <w:t>ГБУЗ «ГВВ № 3 ДЗМ»</w:t>
        <w:br/>
        <w:t>SkorkinSA@zdrav.mos.ru</w:t>
        <w:br/>
        <w:t>ООО КМЦ «ЗДР АВЭКСПЕРТ»</w:t>
        <w:br/>
        <w:t>Info@healthexp.ru</w:t>
        <w:br/>
        <w:t>АО «ЕЭТП»</w:t>
        <w:br/>
        <w:t>ko@roseltorg.ru</w:t>
        <w:br/>
        <w:t>РЕШЕНИЕ</w:t>
        <w:br/>
        <w:t>по делу № 077/06/106-1206/2025 нарушении</w:t>
        <w:br/>
        <w:t>законодательства о контрактной системе</w:t>
        <w:br/>
        <w:t>04.02.2025 г. Москва</w:t>
        <w:br/>
        <w:t>Комиссия Управления Федеральной антимонопольной службы по г. Москве по</w:t>
        <w:br/>
        <w:t>контролю в сфере закупок (далее – Комиссия 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С.И. Казарина ,</w:t>
        <w:br/>
        <w:t>Членов комиссии:</w:t>
        <w:br/>
        <w:t>Ведущего специалиста-эксперта отдела обжалования государственных закупок</w:t>
        <w:br/>
        <w:t>Е.Д. Мартьяновой,</w:t>
        <w:br/>
        <w:t>Ведущего специалиста-эксперта отдела обжалования государственных закупок</w:t>
        <w:br/>
        <w:t>М.О. Мацневой,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представителя:</w:t>
        <w:br/>
        <w:t>ГБУЗ «ГВВ № 3 ДЗМ»: Я.В. Полубинской (по дов. № б/н от 03.02.2025),</w:t>
        <w:br/>
        <w:t>в отсутствии представителей ООО КМЦ «ЗДР АВЭКСПЕРТ», о времени и</w:t>
        <w:br/>
        <w:t>порядке заседания Комиссии Управления уведомленных надлежащим образом</w:t>
        <w:br/>
        <w:t>посредством размещения информации в Единой информационной системе,</w:t>
        <w:br/>
        <w:t>рассмотрев жалобу ООО КМЦ «ЗДР АВЭКСПЕРТ» (далее — Заявитель) на</w:t>
        <w:br/>
        <w:t>действия ГБУЗ «ГВВ № 3 ДЗМ» (далее — Заказчик) при проведении электронного</w:t>
        <w:br/>
        <w:t>аукциона на право заключения государственного контракта на поставку</w:t>
        <w:br/>
        <w:t>хирургических перчаток для нужд ГБУЗ «ГВВ №3 ДЗМ» (Закупка</w:t>
        <w:br/>
        <w:t>№ 0373200056425000004) (далее — аукцион), в соответствии с Федеральным</w:t>
        <w:br/>
        <w:t>законом от 05.04.2013 №44-ФЗ «О контрактной системе в сфере закупок товаров,</w:t>
        <w:br/>
        <w:t>работ, услуг для обеспечения государственных и муниципальных нужд» (далее –</w:t>
        <w:br/>
        <w:t>Закон о контрактной системе),</w:t>
        <w:br/>
        <w:t>2025-5182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 .</w:t>
        <w:br/>
        <w:t>Заявитель обжалует действия Заказчика, выразившиеся в утверждении</w:t>
        <w:br/>
        <w:t>извещения в нарушение Закона о контрактной системе.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Согласно п.1 ч.2 ст.42 Закона о контрактной системе извещение об</w:t>
        <w:br/>
        <w:t>осуществлении закупки должно содержать описание объекта закупки в</w:t>
        <w:br/>
        <w:t>соответствии со ст. 33 Закона о контрактной системе .</w:t>
        <w:br/>
        <w:t>Ч.1 ст.33 Закона о контрактной системе установлено, что Заказчик при описании</w:t>
        <w:br/>
        <w:t>объекта закупки должен руководствоваться следующими правилами:</w:t>
        <w:br/>
        <w:t>1) в 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 требования</w:t>
      </w:r>
    </w:p>
    <w:p>
      <w:r>
        <w:t>или указания в отношении товарных знаков, знаков обслуживания, фирменных</w:t>
        <w:br/>
        <w:t>наименований, патентов, полезных моделей, промышленных образцов, наименование</w:t>
        <w:br/>
        <w:t>страны происхождения товара, требования к товарам, информации, работам, услугам</w:t>
        <w:br/>
        <w:t>при условии, что такие требования или указания влекут за собой ограничение</w:t>
        <w:br/>
        <w:t>количества участников закупки. Допускается использование в описании объекта</w:t>
        <w:br/>
        <w:t>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 знаки, и</w:t>
        <w:br/>
        <w:t>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 машинам</w:t>
        <w:br/>
        <w:t>и оборудованию, используемым заказчиком, в соответствии с технической</w:t>
        <w:br/>
        <w:t>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 порядок</w:t>
        <w:br/>
        <w:t>его формирования утверждаются Правительством Российской Федерации;</w:t>
        <w:br/>
        <w:t>2) использование при составлении описания объекта закупки показателей,</w:t>
        <w:br/>
        <w:t>требований, условных обозначений и терминологии, касающихся технических</w:t>
        <w:br/>
        <w:t>характеристик, функциональных характеристик (потребительских свойств) товара,</w:t>
        <w:br/>
        <w:t>работы, услуги и качественных характеристик объекта закупки, которые</w:t>
        <w:br/>
        <w:t>предусмотрены техническими регламентами, принятыми в соответствии с</w:t>
        <w:br/>
        <w:t>2025-5182</w:t>
        <w:br/>
        <w:t>3</w:t>
        <w:br/>
        <w:t>законодательством Российской Федерации о техническом регулировании,</w:t>
        <w:br/>
        <w:t>документами, разрабатываемыми и применяемыми в национальной системе</w:t>
        <w:br/>
        <w:t>стандартизации, принятыми в соответствии с законодательством Российской</w:t>
        <w:br/>
        <w:t>Федерации о стандартизации, иных требований, связанных с определением</w:t>
        <w:br/>
        <w:t>соответствия поставляемого товара, выполняемой работы, оказываемой услуги</w:t>
        <w:br/>
        <w:t>потребностям заказчика. Если заказчиком при составлении описания объекта закупки</w:t>
        <w:br/>
        <w:t>не используются установленные в соответствии с законодательством Российской</w:t>
        <w:br/>
        <w:t>Федерации о техническом регулировании, законодательством Российской Федерации</w:t>
        <w:br/>
        <w:t>о стандартизации показатели, требования, условные обозначения и терминология, в</w:t>
        <w:br/>
        <w:t>таком описании должно содержаться обоснование необходимости использования</w:t>
        <w:br/>
        <w:t>других показателей, требований, условных обозначений и терминологии.</w:t>
        <w:br/>
        <w:t>В соответствии с ч.2 ст.33 Закона о контрактной системе описание объекта</w:t>
      </w:r>
    </w:p>
    <w:p>
      <w:r>
        <w:t>закупки в 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1. Согласно доводам жалобы Заявитель указывает, что Заказчиком</w:t>
        <w:br/>
        <w:t>некорректно сформировано описание объекта закупки, поскольку часть требований</w:t>
        <w:br/>
        <w:t>к товару, которые являются значимыми характеристиками, включены в раздел</w:t>
        <w:br/>
        <w:t>обоснования необходимости включения дополнительных требований, ввиду чего</w:t>
        <w:br/>
        <w:t>данные требования не отражены в структурированной форме и не подлежат</w:t>
        <w:br/>
        <w:t>заполнению на площадке, следовательно, потенциальный участник не может</w:t>
        <w:br/>
        <w:t>предоставить достоверные сведения об указанных параметрах.</w:t>
        <w:br/>
        <w:t>Комиссией Управления установлено, что в составе структурированной</w:t>
        <w:br/>
        <w:t>формы извещения Заказчиком установлены требования к характеристикам</w:t>
        <w:br/>
        <w:t>необходимых товаров, в частности:</w:t>
        <w:br/>
        <w:t>по п.1 «Перчатки хирургические из латекса гевеи, неопудренные » указано</w:t>
        <w:br/>
        <w:t>следующее:</w:t>
        <w:br/>
        <w:t>- «Обоснование включения дополнительной информации в сведения о</w:t>
        <w:br/>
        <w:t>товаре, работе, услуге»:</w:t>
        <w:br/>
        <w:t>«Конструктивные особенности: Без опудривания-для исключения развития</w:t>
        <w:br/>
        <w:t>раздражения и аллергических реакций на коже рук у персонала. анатомическая</w:t>
        <w:br/>
        <w:t>форма Для снижения нагрузки на руки мед. персонала при манипуляциях в</w:t>
        <w:br/>
        <w:t>хирургии, в т.ч. для продолжительных операций. Манжета с валиком - Для</w:t>
        <w:br/>
        <w:t>надежной фиксации перчатки на предплечье. Ширина перчатки - СОГЛАСНО</w:t>
        <w:br/>
        <w:t>ГОСТУ . Размер В соответствии с потребностью Заказчика и</w:t>
        <w:br/>
        <w:t>антропометрическими данными мед. Персонала Назначение - Применяется при</w:t>
        <w:br/>
        <w:t>продолжительных (более 60 мин.) хирургических операциях и инвазивных</w:t>
        <w:br/>
        <w:t>манипуляциях Одинарная толщина в центре ладони - Для механической</w:t>
        <w:br/>
        <w:t>прочности и тактильной чувствительности каждой перчатки. Тип поверхности -</w:t>
        <w:br/>
        <w:t>Для более лучшего удержания инструмента в руке в сухой и влажной среде.</w:t>
        <w:br/>
        <w:t>2025-5182</w:t>
        <w:br/>
        <w:t>4</w:t>
        <w:br/>
        <w:t>Одинарная толщина среднего пальца перчатки ? 0,13 ? 0,18 Миллиметр -</w:t>
        <w:br/>
        <w:t>Для механической прочности и тактильной чувствительности каждой перчатки.</w:t>
        <w:br/>
        <w:t>обработка внутренней поверхности изделия - Для легкости надевания и</w:t>
        <w:br/>
        <w:t>снимания перчатки, а также отсутствия слипания поверхности, для</w:t>
      </w:r>
    </w:p>
    <w:p>
      <w:r>
        <w:t>дополнительной обработки от белков натурального латекса. Длина перчатки от</w:t>
        <w:br/>
        <w:t>кончика среднего пальца до края манжеты - Для дополнительной защиты</w:t>
        <w:br/>
        <w:t>предплечья при операциях с глубоким доступом, в т.ч. акушерских</w:t>
        <w:br/>
        <w:t>манипуляциях и абдоминальных операциях. цвет внешнего слоя Натуральный -</w:t>
        <w:br/>
        <w:t>Для однозначной визуализации биологических жидкостей или химических</w:t>
        <w:br/>
        <w:t>веществ, попадающих на поверхность перчатки. Требования к свойствам изделия</w:t>
        <w:br/>
        <w:t>- Для предотвращения проникновения микроорганизмов, биологических</w:t>
        <w:br/>
        <w:t>жидкостей, химических веществ».</w:t>
        <w:br/>
        <w:t>При этом в графах «Наименование характеристики», «Значение</w:t>
        <w:br/>
        <w:t>характеристики», «Единица измерения характеристики» Заказчиком установлено</w:t>
        <w:br/>
        <w:t>следующее:</w:t>
        <w:br/>
        <w:t>«Одинарная толщина в центре ладони : ≥ 0.13 и ≤ 0.18 Миллиметр,</w:t>
        <w:br/>
        <w:t>Тип поверхности : Текстурированная по всей рабочей поверхности,</w:t>
        <w:br/>
        <w:t>Требования к стерильности изделия : Стерильный,</w:t>
        <w:br/>
        <w:t>Обработка внутренней поверхности изделия : Полимерное покрытие ,</w:t>
        <w:br/>
        <w:t>Допустимый уровень качества AQL, герметичность: ≤ 1.5,</w:t>
        <w:br/>
        <w:t>Область применения: Хирургические,</w:t>
        <w:br/>
        <w:t>Минимальный остаточный срок годности на дату поставки: ≥ 12 Месяц,</w:t>
        <w:br/>
        <w:t>Размер: 6,</w:t>
        <w:br/>
        <w:t>Конструктивные особенности: Манжета с валиком, Анатомическая форма,</w:t>
        <w:br/>
        <w:t>Без опудривания,</w:t>
        <w:br/>
        <w:t>Класс потенциального риска: 2А,</w:t>
        <w:br/>
        <w:t>Длина перчатки от кончика среднего пальца до края манжеты: ≥ 285 и ≤ 290</w:t>
        <w:br/>
        <w:t>Миллиметр,</w:t>
        <w:br/>
        <w:t>Ширина перчатки: ≥ 80 и ≤ 90 Миллиметр».</w:t>
        <w:br/>
        <w:t>В силу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</w:t>
        <w:br/>
        <w:t>указание (в случае осуществления закупки лекарственных средств) на</w:t>
        <w:br/>
        <w:t>международные непатентованные наименования лекарственных средств или при</w:t>
        <w:br/>
        <w:t>отсутствии таких наименований химические, группировочные наименования.</w:t>
        <w:br/>
        <w:t>На основании ч.6 ст.23 Закона о контрактной системе порядок</w:t>
        <w:br/>
        <w:t>формирования и ведения в единой информационной системе каталога товаров,</w:t>
        <w:br/>
        <w:t>работ, услуг для обеспечения государственных и муниципальных нужд, а также</w:t>
        <w:br/>
        <w:t>правила использования указанного каталога устанавливаются Правительством</w:t>
        <w:br/>
        <w:t>Российской Федерации.</w:t>
        <w:br/>
        <w:t>2025-5182</w:t>
        <w:br/>
        <w:t>5</w:t>
        <w:br/>
        <w:t>Постановлением Правительства Российской Федерации от 08.02.2017 №145</w:t>
        <w:br/>
        <w:t>утверждены Правила формирования и ведения в единой информационной</w:t>
      </w:r>
    </w:p>
    <w:p>
      <w:r>
        <w:t>системе в сфере закупок каталога товаров, работ, услуг для обеспечения</w:t>
        <w:br/>
        <w:t>государственных и муниципальных нужд (далее — правила формирования</w:t>
        <w:br/>
        <w:t>КТРУ) и Правила использования каталога товаров, работ, услуг для обеспечения</w:t>
        <w:br/>
        <w:t>государственных и муниципальных нужд (далее — Правила использования</w:t>
        <w:br/>
        <w:t>КТРУ).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</w:t>
        <w:br/>
        <w:t>обеспечения государственных и муниципальных нужд.</w:t>
        <w:br/>
        <w:t>Согласно пп.«а» п.2 Правила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 извещении об осуществлении закупки;</w:t>
        <w:br/>
        <w:t>- приглашении принять участие в определении поставщика (подрядчика,</w:t>
        <w:br/>
        <w:t>исполнителя) (далее — приглашение);</w:t>
        <w:br/>
        <w:t>- документации о закупке (в случае если Федеральным законом</w:t>
        <w:br/>
        <w:t>предусмотрена документация о закупке);</w:t>
        <w:br/>
        <w:t>- контракте;</w:t>
        <w:br/>
        <w:t>- реестре контрактов, заключенных заказчиками.</w:t>
        <w:br/>
        <w:t>На основании п.4 Правил использования КТРУ Заказчики обязаны</w:t>
        <w:br/>
        <w:t>применять информацию, включенную в позицию каталога в соответствии с</w:t>
        <w:br/>
        <w:t>пп.«б» - «г» и «е» - «з» п.10 Правил формирования КТРУ .</w:t>
        <w:br/>
        <w:t>При этом заказчик обязан при осуществлении закупки использовать</w:t>
        <w:br/>
        <w:t>информацию, включенную в соответствующую позицию, в том числе указывать</w:t>
        <w:br/>
        <w:t>согласно такой позиции следующую информацию:</w:t>
        <w:br/>
        <w:t>а) наименование товара, работы, услуги;</w:t>
        <w:br/>
        <w:t>б) единицы измерения количества товара, объема выполняемой работы,</w:t>
        <w:br/>
        <w:t>оказываемой услуги (при наличии);</w:t>
        <w:br/>
        <w:t>в) описание товара, работы, услуги (при наличии такого описания в</w:t>
        <w:br/>
        <w:t>позиции).</w:t>
        <w:br/>
        <w:t>В силу пп.«г» п.10 Правил формирования КТРУ в позицию каталога</w:t>
        <w:br/>
        <w:t>включается информация, содержащая описание товара, работы, услуги, если</w:t>
        <w:br/>
        <w:t>такое описание сформировано в соответствии с п.13 Правил формирования</w:t>
        <w:br/>
        <w:t>КТРУ .</w:t>
        <w:br/>
        <w:t>Согласно пп.«а» п.13 Правил формирования КТРУ в описание товара,</w:t>
        <w:br/>
        <w:t>работы, услуги в соответствии с требованиями ст.33 Закона о контрактной</w:t>
        <w:br/>
        <w:t>системе включается в том числе потребительские свойства и иные</w:t>
        <w:br/>
        <w:t>характеристики товара, работы, услуги, в том числе функциональные,</w:t>
        <w:br/>
        <w:t>технические, качественные характеристики, эксплуатационные характеристики</w:t>
        <w:br/>
        <w:t>(при необходимости), сформированные с учетом следующих сведений:</w:t>
        <w:br/>
        <w:t>- в случае если указанные характеристики имеют количественную оценку,</w:t>
        <w:br/>
        <w:t>2025-5182</w:t>
        <w:br/>
        <w:t>6</w:t>
      </w:r>
    </w:p>
    <w:p>
      <w:r>
        <w:t>то используются единицы измерения в соответствии с ОКЕИ. При отсутствии в</w:t>
        <w:br/>
        <w:t>ОКЕИ единицы измерения, в отношении которой уполномоченным органом</w:t>
        <w:br/>
        <w:t>принято решение о включении в описание товара, работы, услуги,</w:t>
        <w:br/>
        <w:t>уполномоченный орган направляет в федеральный орган исполнительной власти,</w:t>
        <w:br/>
        <w:t>обеспечивающий разработку, ведение и применение ОКЕИ, обращение о</w:t>
        <w:br/>
        <w:t>включении такой единицы измерения в ОКЕИ. При этом до включения</w:t>
        <w:br/>
        <w:t>соответствующей единицы измерения в ОКЕИ такая единица измерения</w:t>
        <w:br/>
        <w:t>включается в описание товара, работы, услуги и считается временным</w:t>
        <w:br/>
        <w:t>значением;</w:t>
        <w:br/>
        <w:t>- в отношении каждой характеристики, имеющей количественную оценку,</w:t>
        <w:br/>
        <w:t>указывается ее конкретное значение, или исчерпывающий перечень конкретных</w:t>
        <w:br/>
        <w:t>значений, или диапазоны допустимых значений (минимально либо максимально</w:t>
        <w:br/>
        <w:t>допустимые значения), или неизменяемые значения, в том числе с учетом</w:t>
        <w:br/>
        <w:t>требований к товару, работе, услуге, установленных в соответствии со ст.19</w:t>
        <w:br/>
        <w:t>Закона о контрактной системе.</w:t>
        <w:br/>
        <w:t>- в отношении каждой характеристики, не имеющей количественной</w:t>
        <w:br/>
        <w:t>оценки, указывается исчерпывающий перечень соответствующих свойств товара,</w:t>
        <w:br/>
        <w:t>работы, услуги, в том числе с учетом требований к объектам закупки,</w:t>
        <w:br/>
        <w:t>установленных в соответствии со ст.19 Закона о контрактной системе.</w:t>
        <w:br/>
        <w:t>В силу п.5 Правил использования КТРУ заказчик вправе указать в</w:t>
        <w:br/>
        <w:t>извещении об осуществлении закупки, приглашении и документации о закупке</w:t>
        <w:br/>
        <w:t>(в случае если Законом о контрактной системе предусмотрена документация о</w:t>
        <w:br/>
        <w:t>закупке) дополнительную информацию, а также дополнительные</w:t>
        <w:br/>
        <w:t>потребительские свойства, в том числе функциональные, технические,</w:t>
        <w:br/>
        <w:t>качественные, эксплуатационные характеристики товара, работы, услуги в</w:t>
        <w:br/>
        <w:t>соответствии с положениями ст.33 Закона о контрактной системе, которые не</w:t>
        <w:br/>
        <w:t>предусмотрены в позиции каталога, за исключением случаев, установленных пп.</w:t>
        <w:br/>
        <w:t>«а», «б» п.5 Правил использования КТРУ .</w:t>
        <w:br/>
        <w:t>П.6 Правил использования КТРУ установлено, что в случае предоставления</w:t>
        <w:br/>
        <w:t>дополнительной информации, предусмотренной п.5 Правил использования</w:t>
        <w:br/>
        <w:t>КТРУ , заказчик обязан включить в описание товара, работы, услуги обоснование</w:t>
        <w:br/>
        <w:t>необходимости использования такой информации (при наличии описания товара,</w:t>
        <w:br/>
        <w:t>работы, услуги в позиции каталога).</w:t>
        <w:br/>
        <w:t>Согласно п.7 Правил использования КТРУ в случае осуществления закупки</w:t>
        <w:br/>
        <w:t>товара, работы, услуги, в отношении которых в каталоге отсутствуют</w:t>
      </w:r>
    </w:p>
    <w:p>
      <w:r>
        <w:t>соответствующие позиции, заказчик осуществляет описание товара, работы,</w:t>
        <w:br/>
        <w:t>услуги в соответствии с требованиями ст.33 Закона о контрактной системе. При</w:t>
        <w:br/>
        <w:t>проведении предусмотренных Законом о контрактной системе электронных</w:t>
        <w:br/>
        <w:t>процедур, закрытых электронных процедур характеристики объекта закупки,</w:t>
        <w:br/>
        <w:t>предусмотренные п.1 ч.1 ст.33 Закона о контрактной системе , указываются</w:t>
        <w:br/>
        <w:t>с использованием единой информационной системы при формировании</w:t>
        <w:br/>
        <w:t>извещения об осуществлении закупки , приглашения принять участие в</w:t>
        <w:br/>
        <w:t>2025-5182</w:t>
        <w:br/>
        <w:t>7</w:t>
        <w:br/>
        <w:t>определении поставщика (подрядчика, исполнителя) в соответствии с ч.1 ст.42,</w:t>
        <w:br/>
        <w:t>п.1 ч.1 ст.75 Закона о контрактной системе соответственно.</w:t>
        <w:br/>
        <w:t>Комиссия Управления отмечает, что в составе структурированной формы</w:t>
        <w:br/>
        <w:t>извещения информация о характеристике товара также указана в разделе</w:t>
        <w:br/>
        <w:t>«Обоснование включения дополнительной информации в сведения о товаре,</w:t>
        <w:br/>
        <w:t>работе, услуге», при этом в отношении такой характеристике отсутствуют графы,</w:t>
        <w:br/>
        <w:t>позволяющие представить значение по таким характеристикам, а также</w:t>
        <w:br/>
        <w:t>отсутствует инструкция по предоставлению сведений о такой характеристике.</w:t>
        <w:br/>
        <w:t>В силу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 в</w:t>
        <w:br/>
        <w:t>связи с отсутствием возможности указания всех требуемых заказчику характеристик</w:t>
        <w:br/>
        <w:t>товара в разделе «Характеристики» Заказчик с целью установления требований в</w:t>
        <w:br/>
        <w:t>соответствии с имеющимися потребностями конкретизировал требование в разделе</w:t>
        <w:br/>
        <w:t>«Обоснование включения дополнительной информации в сведения о товаре, работе,</w:t>
        <w:br/>
        <w:t>услуге», при этом установленные Заказчиком требования в полной мере</w:t>
        <w:br/>
        <w:t>соответствуют требованиям государственного стандарта и входят в диапазон</w:t>
        <w:br/>
        <w:t>допустимых значений, установленный ГОСТ Р 52238-2004.</w:t>
        <w:br/>
        <w:t>Вместе с тем Комиссия Управления приходит к выводу, что характеристики,</w:t>
        <w:br/>
        <w:t>указанные Заказчиком в разделе «Обоснование включения дополнительной</w:t>
        <w:br/>
        <w:t>информации в сведения о товаре, работе, услуге» не подлежат представлению в</w:t>
        <w:br/>
        <w:t>составе заявки на участие в закупке посредством заполнения структурированной</w:t>
        <w:br/>
        <w:t>формы, в то время как в пп.4 п.12 «Требования к содержанию, составу заявки на</w:t>
      </w:r>
    </w:p>
    <w:p>
      <w:r>
        <w:t>участие в электронном аукционе» Информационной карты по проведению</w:t>
        <w:br/>
        <w:t>аукциона в электронной форме установлено, что на участие в закупке заявка</w:t>
        <w:br/>
        <w:t>должна содержать, в том чи сле: «Характеристики предлагаемого участником</w:t>
        <w:br/>
        <w:t>закупки товара, соответствующие показателям, установленным в описании</w:t>
        <w:br/>
        <w:t>объекта закупки в соответствии с частью 2 статьи 33 Федерального закона</w:t>
        <w:br/>
        <w:t>44-ФЗ, товарный знак (при наличии у товара товарного знака)» .</w:t>
        <w:br/>
        <w:t>Исходя из вышеизложенного, Комиссия Управления отмечает, что</w:t>
        <w:br/>
        <w:t>положения извещения сформированы Заказчиком таким образом, что не</w:t>
        <w:br/>
        <w:t>позволяют участникам закупки представить сведения о необходимом к поставке</w:t>
        <w:br/>
        <w:t>изделии надлежащим образом посредством заполнения структурированной</w:t>
        <w:br/>
        <w:t>формы заявки с помощью программно-аппаратных средств площадки.</w:t>
        <w:br/>
        <w:t>Комиссия Управления обращает особое внимание на то, что раздел</w:t>
        <w:br/>
        <w:t>«Обоснование включения дополнительной информации в сведения о товаре,</w:t>
        <w:br/>
        <w:t>работе, услуге», по своей сути, относится непосредственно к самому</w:t>
        <w:br/>
        <w:t>обоснованию использования характеристик не предусмотренных КТРУ (во</w:t>
        <w:br/>
        <w:t>исполнение п.6 Правил пользования КТРУ) и/или не предусмотренных ГОСТ (во</w:t>
        <w:br/>
        <w:t>исполнение п.2 ч.1 ст.33 Закона о контрактной системе).</w:t>
        <w:br/>
        <w:t>2025-5182</w:t>
        <w:br/>
        <w:t>8</w:t>
        <w:br/>
        <w:t>Вместе с этим размещенное в составе описания объекта закупки</w:t>
        <w:br/>
        <w:t>обоснование таковым по сути не является, так как содержит в себе требования к</w:t>
        <w:br/>
        <w:t>товарам, которые, в свою очередь, отсутствуют в разделах «Наименование</w:t>
        <w:br/>
        <w:t>характеристики», «Значение характеристики», «Единица измерения</w:t>
        <w:br/>
        <w:t>характеристики».</w:t>
        <w:br/>
        <w:t>Таким образом, Заказчику, во исполнение требований п.2 ч.1 ст.33, п.5 ч.1</w:t>
        <w:br/>
        <w:t>ст.42 Закона о контрактной системе и Правил пользования КТРУ , надлежало</w:t>
        <w:br/>
        <w:t>отразить все значимые характеристики закупаемых товаров в разделах</w:t>
        <w:br/>
        <w:t>«Наименование характеристики», «Значение характеристики», «Единица</w:t>
        <w:br/>
        <w:t>измерения характеристики» с указанием в соответствующих графах</w:t>
        <w:br/>
        <w:t>наименования характеристик, значение характеристик, единицы измерения</w:t>
        <w:br/>
        <w:t>характеристик, инструкцию по заполнению характеристик в заявке, а в разделе</w:t>
        <w:br/>
        <w:t>«Обоснование включения дополнительной информации в сведения о товаре,</w:t>
        <w:br/>
        <w:t>работе, услуге» отразить исключительно обоснование таких характеристик, в</w:t>
        <w:br/>
        <w:t>случае, если они не предусмотрены используемой Заказчиком позицией КТРУ</w:t>
        <w:br/>
        <w:t>и/или ГОСТ, чего Заказчиком сделано не было.</w:t>
        <w:br/>
        <w:t>На основании имеющихся документов и сведений Комиссия Управления</w:t>
      </w:r>
    </w:p>
    <w:p>
      <w:r>
        <w:t>приходит к выводу о нарушении Заказчиком положений п.1 ч.1 ст.33, п.5 ч.1</w:t>
        <w:br/>
        <w:t>ст.42 Закона о контрактной системе при формировании описания объекта</w:t>
        <w:br/>
        <w:t>закупки, что также свидетельствует о наличии в действиях Заказчика признаков</w:t>
        <w:br/>
        <w:t>состава административного правонарушения, ответственность за которое</w:t>
        <w:br/>
        <w:t>предусмотрена ч.1.4 ст.7.30 Кодекса Российской Федерации об</w:t>
        <w:br/>
        <w:t>административных правонарушениях.</w:t>
        <w:br/>
        <w:t>2.Согласно доводам жалобы Заявитель также указывает, что описание объекта</w:t>
        <w:br/>
        <w:t>закупки содержит некорректные требования к объекту закупки, не позволяющие</w:t>
        <w:br/>
        <w:t>определить необходимый Заказчику показатель толщины перчаток.</w:t>
        <w:br/>
        <w:t>Так, Комиссией Управления установлено, что в составе структурированной</w:t>
        <w:br/>
        <w:t>формы извещения Заказчиком установлены требования к характеристикам</w:t>
        <w:br/>
        <w:t>необходимых товаров, в частности:</w:t>
        <w:br/>
        <w:t>по п. 8 «Перчатки хирургические из латекса гевеи, неопудренные » в графе</w:t>
        <w:br/>
        <w:t>«Обоснование дополнительных характеристик» указано следующее:</w:t>
        <w:br/>
        <w:t>«Одинарная толщина среднего пальца перчатки &gt; 0.14 &lt;0,20», при этом из</w:t>
        <w:br/>
        <w:t>установленного требования не следует какая единица измерения необходима</w:t>
        <w:br/>
        <w:t>Заказчику,</w:t>
        <w:br/>
        <w:t>по п. 16 «Перчатки хирургические из латекса гевеи, неопудренные» в графе</w:t>
        <w:br/>
        <w:t>«Обоснование дополнительных характеристик» указано следующее:</w:t>
        <w:br/>
        <w:t>«Одинарная толщина среднего пальца перчатки &gt;0,25 ? 0,32 Миллиметр», при</w:t>
        <w:br/>
        <w:t>этом из данного требования не следует, что подразумевается под символ «?»</w:t>
        <w:br/>
        <w:t>между цифровыми обозначениями.</w:t>
        <w:br/>
        <w:t>На заседании Комиссии Управления представитель Заказчика пояснил, что</w:t>
        <w:br/>
        <w:t>данное нарушение произошло в результате технической ошибки.</w:t>
        <w:br/>
        <w:t>На основании имеющихся документов и сведений Комиссия Управления</w:t>
        <w:br/>
        <w:t>приходит к выводу о нарушении Заказчиком положений п.1 ч.1, ч.2 ст.33 Закона</w:t>
        <w:br/>
        <w:t>2025-5182</w:t>
        <w:br/>
        <w:t>9</w:t>
        <w:br/>
        <w:t>о контрактной системе при формировании описания объекта закупки, что также</w:t>
        <w:br/>
        <w:t>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ч.1.4 ст.7.30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Р Е Ш И Л А :</w:t>
        <w:br/>
        <w:t>1. Признать жалобу ООО КМЦ «ЗДР АВЭКСПЕРТ» на действия ГБУЗ «ГВВ</w:t>
        <w:br/>
        <w:t>№ 3 ДЗМ» обоснованной.</w:t>
        <w:br/>
        <w:t>2. Признать в действиях Заказчика нарушения п.1 ч.1, ч.2 ст.33, п.5 ч.1 ст.42</w:t>
        <w:br/>
        <w:t>Закона о контрактной системе.</w:t>
      </w:r>
    </w:p>
    <w:p>
      <w:r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 установленном</w:t>
        <w:br/>
        <w:t>гл. 24 АПК РФ.</w:t>
        <w:br/>
        <w:t>Председательствующий С.И. Казарин</w:t>
        <w:br/>
        <w:t>Члены комиссии:</w:t>
        <w:br/>
        <w:t>Е.Д. Мартьянова</w:t>
        <w:br/>
        <w:t>М.О. Мацнева</w:t>
        <w:br/>
        <w:t>Исп.Мартьянова Е.Д.</w:t>
        <w:br/>
        <w:t>тел.(495) 784-75-05</w:t>
        <w:br/>
        <w:t>2025-5182</w:t>
      </w:r>
    </w:p>
    <w:p>
      <w:pPr>
        <w:pStyle w:val="Heading1"/>
      </w:pPr>
      <w:r>
        <w:t>Предписание</w:t>
      </w:r>
    </w:p>
    <w:p>
      <w:r>
        <w:t>ГБУЗ «ГВВ № 3 ДЗМ»</w:t>
        <w:br/>
        <w:t>SkorkinSA@zdrav.mos.ru</w:t>
        <w:br/>
        <w:t>ООО КМЦ «ЗДР АВЭКСПЕРТ»</w:t>
        <w:br/>
        <w:t>Info@healthexp.ru</w:t>
        <w:br/>
        <w:t>АО «ЕЭТП»</w:t>
        <w:br/>
        <w:t>ko@roseltorg.ru</w:t>
        <w:br/>
        <w:t>ПРЕДПИСАНИЕ</w:t>
        <w:br/>
        <w:t>по делу № 077/06/106-1206/2025 об устранении нарушений</w:t>
        <w:br/>
        <w:t>законодательства о контрактной системе</w:t>
        <w:br/>
        <w:t>04.02.2025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С.И. Казарина,</w:t>
        <w:br/>
        <w:t>Члены Комиссии</w:t>
        <w:br/>
        <w:t>Ведущего специалиста-эксперта отдела обжалования государственных закупок</w:t>
        <w:br/>
        <w:t>Е.Д. Мартьяновой,</w:t>
        <w:br/>
        <w:t>Ведущего специалиста-эксперта отдела обжалования государственных закупок</w:t>
        <w:br/>
        <w:t>М.О. Мацневой,</w:t>
        <w:br/>
        <w:t>на основании решения Комиссии от 04.02.2025 по делу</w:t>
        <w:br/>
        <w:t>№077/06/106-1206/2025 , по итогам рассмотрения жалобы ООО КМЦ</w:t>
        <w:br/>
        <w:t>«ЗДРАВЭКСПЕРТ» (далее — Заявитель) на действия ГБУЗ «ГВВ № 3 ДЗМ» (далее</w:t>
        <w:br/>
        <w:t>— Заказчик) при проведении электронного аукциона на право заключения</w:t>
        <w:br/>
        <w:t>государственного контракта на поставку хирургических перчаток для нужд</w:t>
        <w:br/>
        <w:t>ГБУЗ «ГВВ №3 ДЗМ» (Закупка № 0373200056425000004) (далее — аукцион) в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ПРЕДПИСЫВАЕТ:</w:t>
        <w:br/>
        <w:t>1. Заказчику при заключении и исполнении контракта не учитывать</w:t>
        <w:br/>
        <w:t>неправомерные требования к толщине среднего пальца перчаток в соответствии с</w:t>
        <w:br/>
        <w:t>мотивировочной частью решения Московского УФАС России от 04.02.2025 по делу</w:t>
        <w:br/>
        <w:t>№ 077/06/106-1206/2025 .</w:t>
        <w:br/>
        <w:t>2025-5192</w:t>
        <w:br/>
        <w:t>2</w:t>
        <w:br/>
        <w:t>2. Заказчику осуществить дальнейшее проведение процедуры осуществления</w:t>
        <w:br/>
        <w:t>закупки в соответствии с требованиями законодательства Российской Федерации об</w:t>
        <w:br/>
        <w:t>осуществлении закупок и с учетом решения Московского УФАС России</w:t>
        <w:br/>
        <w:t>от 04.02.2025 по делу № 077/06/106-1206/2025 .</w:t>
        <w:br/>
        <w:t>3. Заказчику в срок до 04.03.2025 представить в Московское УФАС России</w:t>
        <w:br/>
        <w:t>подтверждение исполнения настоящего предписания в письменном виде или по</w:t>
        <w:br/>
        <w:t>факсимильной связи (8(495) 607-42-92) или электронной почте по адресу:</w:t>
        <w:br/>
        <w:t>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ст.19.5 Кодекса Российской Федерации об</w:t>
        <w:br/>
        <w:t>административных правонарушениях, влечет наложение административного штрафа</w:t>
      </w:r>
    </w:p>
    <w:p>
      <w:r>
        <w:t>на должностных лиц в размере пятидесяти тысяч рублей в соответствии с ч.7 ст.19.5</w:t>
        <w:br/>
        <w:t>Кодекса Российской Федерации об административных правонарушениях.</w:t>
        <w:br/>
        <w:t>Настоящее предписание может быть обжаловано в судебном порядке в</w:t>
        <w:br/>
        <w:t>Арбитражном суде г. Москвы в течение 3 (трех) месяцев с даты его принятия в</w:t>
        <w:br/>
        <w:t>порядке, установленном гл. 24 АПК РФ.</w:t>
        <w:br/>
        <w:t>Председательствующий С.И. Казарин</w:t>
        <w:br/>
        <w:t>Члены комиссии:</w:t>
        <w:br/>
        <w:t>Е.Д. Мартьянова</w:t>
        <w:br/>
        <w:t>М.О. Мацнева</w:t>
        <w:br/>
        <w:t>Исп.Мартьянова Е.Д.</w:t>
        <w:br/>
        <w:t>тел.(495) 784-75-05</w:t>
        <w:br/>
        <w:t>2025-5192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