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202500132489001330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05.02.2025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0373200034825000022</w:t>
      </w:r>
    </w:p>
    <w:p>
      <w:r>
        <w:rPr>
          <w:b/>
        </w:rPr>
        <w:t xml:space="preserve">Заказчик: </w:t>
      </w:r>
      <w:r>
        <w:t>ГБУЗ города Москвы «Научно-практический центр специализированной медицинской помощи детям имени В.Ф. Войно-ясенецкого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«АЛМАЗ»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https://zakupki.gov.ru/epz/complaint/card/complaint-information.html?complaintNumber=202500132489001330</w:t>
      </w:r>
    </w:p>
    <w:p/>
    <w:p>
      <w:pPr>
        <w:pStyle w:val="Heading1"/>
      </w:pPr>
      <w:r>
        <w:t>Решение</w:t>
      </w:r>
    </w:p>
    <w:p>
      <w:r>
        <w:t>ГБУЗ «НПЦ спец.мед.помощи детям</w:t>
        <w:br/>
        <w:t>ДЗМ»</w:t>
        <w:br/>
        <w:t>HTXM-zakupki-npcmpd@zdrav.mos.ru</w:t>
        <w:br/>
        <w:t>ООО «АЛМАЗ»</w:t>
        <w:br/>
        <w:t>trimar.opt@gmail.com</w:t>
        <w:br/>
        <w:t>АО «ЕЭТП»</w:t>
        <w:br/>
        <w:t>ko@roseltorg.ru</w:t>
        <w:br/>
        <w:t>РЕШЕНИЕ</w:t>
        <w:br/>
        <w:t>по делу № 077/06/106-1290/2025 о нарушении</w:t>
        <w:br/>
        <w:t>законодательства о контрактной системе</w:t>
        <w:br/>
        <w:t>05.02.2025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 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 при участии представителя ГБУЗ «НПЦ спец.мед.помощи детям</w:t>
        <w:br/>
        <w:t>ДЗМ»»: А.Л. Бабакова (по дов. № 221 от 09.07.2024),</w:t>
        <w:br/>
        <w:t>в отсутствие представителей ООО «АЛМАЗ» , о времени и порядке заседания</w:t>
        <w:br/>
        <w:t>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«АЛМАЗ» (далее — Заявитель) на действия</w:t>
        <w:br/>
        <w:t>ГБУЗ «НПЦ спец.мед.помощи детям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медицинских изделий для сбора, хранения, транспортировки и утилизации</w:t>
        <w:br/>
        <w:t>медицинских отходов (пакет) для нужд ГБУЗ «НПЦ спец.мед.помощи детям ДЗМ»</w:t>
        <w:br/>
        <w:t>(Закупка № 0373200034825000022) (далее – электронный аукцион, аукцион),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2025-5250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п.1 ч.2 ст.42 Закона о контрактной системе извещение об</w:t>
        <w:br/>
        <w:t>осуществлении закупки должно содержать описание объекта закупки в</w:t>
        <w:br/>
        <w:t>соответствии со ст. 33 Закона о контрактной системе 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</w:r>
    </w:p>
    <w:p>
      <w:r>
        <w:t>(при 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2025-5250</w:t>
        <w:br/>
        <w:t>3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</w:r>
    </w:p>
    <w:p>
      <w:r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Согласно доводам жалобы Заявитель указывает, что Заказчиком некорректно</w:t>
        <w:br/>
        <w:t>сформировано описание объекта закупки, поскольку часть требований к товару,</w:t>
        <w:br/>
        <w:t>которые являются значимыми характеристиками, включены в раздел обоснования</w:t>
        <w:br/>
        <w:t>необходимости включения дополнительных требований, ввиду чего данные</w:t>
        <w:br/>
        <w:t>требования не отражены в структурированной форме и не подлежат заполнению на</w:t>
        <w:br/>
        <w:t>площадке, следовательно, потенциальный победитель закупки может поставить</w:t>
        <w:br/>
        <w:t>пакеты без завязок, что не будет соответствовать потребности Заказчика.</w:t>
        <w:br/>
        <w:t>Комиссией Управления установлено, что в составе структурированной</w:t>
        <w:br/>
        <w:t>формы извещения Заказчиком уста новлены требования к характеристикам</w:t>
        <w:br/>
        <w:t>необходимых товаров, в частности, по п. 2 « Пакет для сбора, хранения и</w:t>
        <w:br/>
        <w:t>транспортировки медицинских отходов » указано следующее:</w:t>
        <w:br/>
        <w:t>- «Обоснование включения допол нительной информации в сведения о</w:t>
        <w:br/>
        <w:t>товаре, работе, услуге»:</w:t>
        <w:br/>
        <w:t>«1. Сбор, маркировка и герметизация медицинских отходов класса А в</w:t>
        <w:br/>
        <w:t>местах их образования согласно требованиям СанПиН 2.1.3684-21. 2. Длина</w:t>
        <w:br/>
        <w:t>необходима для оптимального заполнения с учетом п.168 и п.201 СанПиН</w:t>
        <w:br/>
        <w:t>2.1.3684-21. 3. Класс отходов для соблюдения маркировки в соответствии с п.</w:t>
        <w:br/>
        <w:t>170 СанПиН 2.1.3684-21. 4. Требование материала обусловлено сбором,</w:t>
        <w:br/>
        <w:t>маркировкой и герметизацией медицинских отходов класса А в местах их</w:t>
        <w:br/>
        <w:t>образования согласно требованиям СанПиН 2.1.3684- 21. 5. Для возможности</w:t>
        <w:br/>
        <w:t>использования пакетов в течение не менее 10 месяцев, согласно данным по РУ ,</w:t>
        <w:br/>
        <w:t>поставляемого товара. 6. Объем соответствует размеру контейнеров</w:t>
        <w:br/>
        <w:t>использующих в ЛПУ . 7.Толщина стенки пакета необходима для выдерживания</w:t>
        <w:br/>
        <w:t>давления, создаваемого содержимым на стенки при полном заполнении изделия.</w:t>
        <w:br/>
        <w:t>8. Ширина необходима для оптимального заполнения с учетом п.168 и п.201</w:t>
        <w:br/>
        <w:t>СанПиН 2.1.3684-21. 9. Завязка впаяна в технологический тоннель,</w:t>
      </w:r>
    </w:p>
    <w:p>
      <w:r>
        <w:t>образованный путем заложения верхнего края изделия, которая является</w:t>
        <w:br/>
        <w:t>неотъемлемой частью изделия и легко вытягивается из технологических</w:t>
        <w:br/>
        <w:t>отверстий, расположенных по центру изделия, обеспечивает герметизацию</w:t>
        <w:br/>
        <w:t>пакета. Длина завязки - не менее 700 мм. Ширина не менее - 40 мм. Толщина</w:t>
        <w:br/>
        <w:t>– не менее 25 мкм: Для исключения высыпания отходов в соответствии с</w:t>
        <w:br/>
        <w:t>2025-5250</w:t>
        <w:br/>
        <w:t>4</w:t>
        <w:br/>
        <w:t>требованиями СанПиН 2.1.3684-21. 10. Тип маркировки обусловлен</w:t>
        <w:br/>
        <w:t>обеспечением соблюдения п. 170 СанПиН».</w:t>
        <w:br/>
        <w:t>При этом в графах «Наименование характеристики», «Значение</w:t>
        <w:br/>
        <w:t>характеристики», «Единица измерения характеристики» Заказчиком установлено</w:t>
        <w:br/>
        <w:t>следующее:</w:t>
        <w:br/>
        <w:t>«Толщина одной стенки пакета, мкм : ≥ 18 и ≤ 20,</w:t>
        <w:br/>
        <w:t>Тип маркировки : Нанесенная,</w:t>
        <w:br/>
        <w:t>Длина: ≥ 1100 и &lt; 1150 Миллиметр,</w:t>
        <w:br/>
        <w:t>Минимальный остаточный срок годности на дату поставки: ≥ 12 Месяц,</w:t>
        <w:br/>
        <w:t>Приспособление для герметизации : Затяжки,</w:t>
        <w:br/>
        <w:t>Область применения : Для сбора, хранения и транспортировки медицинских</w:t>
        <w:br/>
        <w:t>отходов,</w:t>
        <w:br/>
        <w:t>Материал: Полиэтилен,</w:t>
        <w:br/>
        <w:t>Ширина: ≥ 700 и &lt; 750 Миллиметр,</w:t>
        <w:br/>
        <w:t>Класс отходов: А,</w:t>
        <w:br/>
        <w:t>Объем: ≥ 120 Литр; кубический дециметр,</w:t>
        <w:br/>
        <w:t>Цвет: Белый».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</w:t>
        <w:br/>
        <w:t>указание (в случае осуществления закупки лекарственных средств) на</w:t>
        <w:br/>
        <w:t>международные непатентованные наименования лекарственных средств или при</w:t>
        <w:br/>
        <w:t>отсутствии таких наименований химические, группировочные наименования.</w:t>
        <w:br/>
        <w:t>На основании ч.6 ст.23 Закона о контрактной системе порядок</w:t>
        <w:br/>
        <w:t>формирования и ведения в единой информационной системе каталога товаров,</w:t>
        <w:br/>
        <w:t>работ, услуг для обеспечения государственных и муниципальных нужд, а также</w:t>
        <w:br/>
        <w:t>правила использования указанного каталога устанавливаются Правительством</w:t>
        <w:br/>
        <w:t>Российской Федерации.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(далее — правила формирования</w:t>
      </w:r>
    </w:p>
    <w:p>
      <w:r>
        <w:t>КТРУ) и Правила использования каталога товаров, работ, услуг для обеспечения</w:t>
        <w:br/>
        <w:t>государственных и муниципальных нужд (далее — Правила использования</w:t>
        <w:br/>
        <w:t>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</w:t>
        <w:br/>
        <w:t>обеспечения государственных и муниципальных нужд.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2025-5250</w:t>
        <w:br/>
        <w:t>5</w:t>
        <w:br/>
        <w:t>- извещении об осуществлении закупки;</w:t>
        <w:br/>
        <w:t>- приглашении принять участие в определении поставщика (подрядчика,</w:t>
        <w:br/>
        <w:t>исполнителя) (далее — приглашение);</w:t>
        <w:br/>
        <w:t>- документации о закупке (в случае если Федеральным законом</w:t>
        <w:br/>
        <w:t>предусмотрена документация о закупке);</w:t>
        <w:br/>
        <w:t>- контракте;</w:t>
        <w:br/>
        <w:t>- реестре контрактов, заключенных заказчиками.</w:t>
        <w:br/>
        <w:t>На основании п.4 Правил использования КТРУ Заказчики обязаны</w:t>
        <w:br/>
        <w:t>применять информацию, включенную в позицию каталога в соответствии с</w:t>
        <w:br/>
        <w:t>пп.«б» - «г» и «е» - «з» п.10 Правил формирования КТРУ .</w:t>
        <w:br/>
        <w:t>При этом заказчик обязан при осуществлении закупки использовать</w:t>
        <w:br/>
        <w:t>информацию, включенную в соответствующую позицию, в том числе указывать</w:t>
        <w:br/>
        <w:t>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</w:t>
        <w:br/>
        <w:t>позиции).</w:t>
        <w:br/>
        <w:t>В силу пп.«г» п.10 Правил формирования КТРУ в позицию каталога</w:t>
        <w:br/>
        <w:t>включается информация, содержащая описание товара, работы, услуги, если</w:t>
        <w:br/>
        <w:t>такое описание сформировано в соответствии с п.13 Правил формирования</w:t>
        <w:br/>
        <w:t>КТРУ .</w:t>
        <w:br/>
        <w:t>Согласно пп.«а» п.13 Правил формирования КТРУ в описание товара,</w:t>
        <w:br/>
        <w:t>работы, услуги в соответствии с требованиями ст.33 Закона о контрактной</w:t>
        <w:br/>
        <w:t>системе включается в том числе потребительские свойства и иные</w:t>
        <w:br/>
        <w:t>характеристики товара, работы, услуги, в том числе функциональные,</w:t>
        <w:br/>
        <w:t>технические, качественные характеристики, эксплуатационные характеристики</w:t>
        <w:br/>
        <w:t>(при необходимости), сформированные с учетом следующих сведений:</w:t>
        <w:br/>
        <w:t>- в случае если указанные характеристики имеют количественную оценку,</w:t>
        <w:br/>
        <w:t>то используются единицы измерения в соответствии с ОКЕИ. При отсутствии в</w:t>
        <w:br/>
        <w:t>ОКЕИ единицы измерения, в отношении которой уполномоченным органом</w:t>
      </w:r>
    </w:p>
    <w:p>
      <w:r>
        <w:t>принято решение о включении в описание товара, работы, услуги,</w:t>
        <w:br/>
        <w:t>уполномоченный орган направляет в федеральный орган исполнительной власти,</w:t>
        <w:br/>
        <w:t>обеспечивающий разработку, ведение и применение ОКЕИ, обращение о</w:t>
        <w:br/>
        <w:t>включении такой единицы измерения в ОКЕИ. При этом до включения</w:t>
        <w:br/>
        <w:t>соответствующей единицы измерения в ОКЕИ такая единица измерения</w:t>
        <w:br/>
        <w:t>включается в описание товара, работы, услуги и считается временным</w:t>
        <w:br/>
        <w:t>значением;</w:t>
        <w:br/>
        <w:t>- в отношении каждой характеристики, имеющей количественную оценку,</w:t>
        <w:br/>
        <w:t>указывается ее конкретное значение, или исчерпывающий перечень конкретных</w:t>
        <w:br/>
        <w:t>значений, или диапазоны допустимых значений (минимально либо максимально</w:t>
        <w:br/>
        <w:t>допустимые значения), или неизменяемые значения, в том числе с учетом</w:t>
        <w:br/>
        <w:t>2025-5250</w:t>
        <w:br/>
        <w:t>6</w:t>
        <w:br/>
        <w:t>требований к товару, работе, услуге, установленных в соответствии со ст.19</w:t>
        <w:br/>
        <w:t>Закона о контрактной системе.</w:t>
        <w:br/>
        <w:t>- в отношении каждой характеристики, не имеющей количественной</w:t>
        <w:br/>
        <w:t>оценки, указывается исчерпывающий перечень соответствующих свойств товара,</w:t>
        <w:br/>
        <w:t>работы, услуги, в том числе с учетом требований к объектам закупки,</w:t>
        <w:br/>
        <w:t>установленных в соответствии со ст.19 Закона о контрактной системе.</w:t>
        <w:br/>
        <w:t>В силу п.5 Правил использования КТРУ заказчик вправе указать в</w:t>
        <w:br/>
        <w:t>извещении об осуществлении закупки, приглашении и документации о закупке</w:t>
        <w:br/>
        <w:t>(в случае если Законом о контрактной системе предусмотрена документация о</w:t>
        <w:br/>
        <w:t>закупке) дополнительную информацию, а также дополнительные</w:t>
        <w:br/>
        <w:t>потребительские свойства, в том числе функциональные, технические,</w:t>
        <w:br/>
        <w:t>качественные, эксплуатационные характеристики товара, работы, услуги в</w:t>
        <w:br/>
        <w:t>соответствии с положениями ст.33 Закона о контрактной системе, которые не</w:t>
        <w:br/>
        <w:t>предусмотрены в позиции каталога, за исключением случаев, установленных пп.</w:t>
        <w:br/>
        <w:t>«а», «б» п.5 Правил использования КТРУ .</w:t>
        <w:br/>
        <w:t>П.6 Правил использования КТРУ установлено, что в случае предоставления</w:t>
        <w:br/>
        <w:t>дополнительной информации, предусмотренной п.5 Правил использования</w:t>
        <w:br/>
        <w:t>КТРУ , 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</w:t>
        <w:br/>
        <w:t>услуги в соответствии с требованиями ст.33 Закона о контрактной системе. При</w:t>
      </w:r>
    </w:p>
    <w:p>
      <w:r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 , указываются</w:t>
        <w:br/>
        <w:t>с использованием единой информационной системы при формировании</w:t>
        <w:br/>
        <w:t>извещения об осуществлении закупки , приглашения принять участие в</w:t>
        <w:br/>
        <w:t>определении поставщика (подрядчика, исполнителя) в соответствии с ч.1 ст.42,</w:t>
        <w:br/>
        <w:t>п.1 ч.1 ст.75 Закона о контрактной системе соответственно.</w:t>
        <w:br/>
        <w:t>Комиссия Управления отмечает, что в составе структурированной формы</w:t>
        <w:br/>
        <w:t>извещения информация о части характеристик указана в разделе «Обоснование</w:t>
        <w:br/>
        <w:t>включения дополнительной информации в сведения о товаре, работе, услуге», в</w:t>
        <w:br/>
        <w:t>частности требования к завязкам, при этом в отношении таких характеристик</w:t>
        <w:br/>
        <w:t>отсутствуют графы, позволяющие представить значение по таким</w:t>
        <w:br/>
        <w:t>характеристикам, а также отсутствует инструкция по предоставлению сведений о</w:t>
        <w:br/>
        <w:t>таких характеристиках.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2025-5250</w:t>
        <w:br/>
        <w:t>7</w:t>
        <w:br/>
        <w:t>На заседании Комиссии Управления представитель Заказчика пояснил, что</w:t>
        <w:br/>
        <w:t>Заказчиком указаны функциональные, технические и качественные характеристики</w:t>
        <w:br/>
        <w:t>товара, являющегося объектом закупки, что дает достаточное представление о</w:t>
        <w:br/>
        <w:t>потребностях Заказчика, при этом все показатели, установленные в описании объекта</w:t>
        <w:br/>
        <w:t>закупки являются значимыми для Заказчика.</w:t>
        <w:br/>
        <w:t>Вместе с тем Комиссия Управления приходит к выводу, что характеристики,</w:t>
        <w:br/>
        <w:t>указанные Заказчиком в разделе «Обоснование включения дополнительной</w:t>
        <w:br/>
        <w:t>информации в сведения о товаре, работе, услуге» не подлежат представлению в</w:t>
        <w:br/>
        <w:t>составе заявки на учас тие в закупке посредством заполнения структурированной</w:t>
        <w:br/>
        <w:t>формы, в то время как в пп.4 п.12 « Требования к содержанию, составу заявки на</w:t>
        <w:br/>
        <w:t>участие в электронном аукционе » Информационной карты по проведению</w:t>
        <w:br/>
        <w:t>аукциона в электронной форме установлено, что на участие в закупке заявка</w:t>
        <w:br/>
        <w:t>должна содержать, в том числе: «Характеристики предлагаемого участником</w:t>
        <w:br/>
        <w:t>закупки товара, соответствующие показателям, установленным в описании</w:t>
      </w:r>
    </w:p>
    <w:p>
      <w:r>
        <w:t>объекта закупки в соответствии с частью 2 статьи 33 Закона о контрактной</w:t>
        <w:br/>
        <w:t>системе».</w:t>
        <w:br/>
        <w:t>Исходя из вышеизложенного, Комиссия Управления отмечает, что</w:t>
        <w:br/>
        <w:t>положения извещения сфор мированы Заказчиком таким образом, что не</w:t>
        <w:br/>
        <w:t>позволяют участникам закупки представить сведения о необходимом к поставке</w:t>
        <w:br/>
        <w:t>изделии надлежащим образом посредством заполнения структурированной</w:t>
        <w:br/>
        <w:t>формы заявки с помощью программно-аппаратных средств площадки.</w:t>
        <w:br/>
        <w:t>Комиссия Управления обращает особое внимание на то, что раздел</w:t>
        <w:br/>
        <w:t>«Обоснование включения дополнительной информации в сведения о товаре,</w:t>
        <w:br/>
        <w:t>работе, услуге», по своей сути, относится непосредственно к самому</w:t>
        <w:br/>
        <w:t>обоснованию использования характеристик не предусмотренных КТРУ (во</w:t>
        <w:br/>
        <w:t>исполнение п.6 Правил пользования КТРУ) и/или не предусмотренных ГОСТ (во</w:t>
        <w:br/>
        <w:t>исполнение п.2 ч.1 ст.33 Закона о контрактной системе).</w:t>
        <w:br/>
        <w:t>Вместе с этим размещенное в составе описания объекта закупки</w:t>
        <w:br/>
        <w:t>обоснование таковым по сути не является, так как содержит в себе требования к</w:t>
        <w:br/>
        <w:t>товарам, которые, в свою очередь, отсутствуют в разделах «Наименование</w:t>
        <w:br/>
        <w:t>характеристики», «Значение характеристики», «Единица измерения</w:t>
        <w:br/>
        <w:t>характеристики».</w:t>
        <w:br/>
        <w:t>Таким образом, Заказчику, во исполнение требований п.2 ч.1 ст.33, п.5 ч.1</w:t>
        <w:br/>
        <w:t>ст.42 Закона о контрактной системе и Правил пользования КТРУ , надлежало</w:t>
        <w:br/>
        <w:t>отразить все значимые характеристики закупаемых товаров в разделах</w:t>
        <w:br/>
        <w:t>«Наименование характеристики», «Значение характеристики», «Единица</w:t>
        <w:br/>
        <w:t>измерения характеристики» с указанием в соответствующих графах</w:t>
        <w:br/>
        <w:t>наименования характеристик, значение характеристик, единицы измерения</w:t>
        <w:br/>
        <w:t>характеристик, инструкцию по заполнению характеристик в заявке, а в разделе</w:t>
        <w:br/>
        <w:t>«Обоснование включения дополнительной информации в сведения о товаре,</w:t>
        <w:br/>
        <w:t>работе, услуге» отразить исключительно обоснование таких характеристик, в</w:t>
        <w:br/>
        <w:t>случае, если они не предусмотрены используемой Заказчиком позицией КТРУ</w:t>
        <w:br/>
        <w:t>и/или ГОСТ, чего Заказчиком сделано не было.</w:t>
        <w:br/>
        <w:t>На основании имеющихся документов и сведений Комиссия Управления</w:t>
        <w:br/>
        <w:t>приходит к выводу о нарушении Заказчиком положений п.1 ч.1 ст.33, п.5 ч.1</w:t>
        <w:br/>
        <w:t>2025-5250</w:t>
        <w:br/>
        <w:t>8</w:t>
        <w:br/>
        <w:t>ст.42 Закона о контрактной системе при формировании описания объекта</w:t>
        <w:br/>
        <w:t>закупки,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ч.1.4 ст.7.30 Кодекса Российской Федерации об</w:t>
        <w:br/>
        <w:t>административных правонарушениях.</w:t>
      </w:r>
    </w:p>
    <w:p>
      <w:r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 Е Ш И Л А :</w:t>
        <w:br/>
        <w:t>1. Признать жалобу ООО «АЛМАЗ» на действия ГБУЗ «НПЦ</w:t>
        <w:br/>
        <w:t>спец.мед.помощи детям ДЗМ» обоснованной.</w:t>
        <w:br/>
        <w:t>2. Признать в действиях Заказчика нарушения п.1 ч.1 ст.33, п.5 ч.1 ст.42 Закона</w:t>
        <w:br/>
        <w:t>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О.А. Челнова</w:t>
        <w:br/>
        <w:t>Исп.Мартьянова Е.Д.</w:t>
        <w:br/>
        <w:t>тел.(495) 784-75-05</w:t>
        <w:br/>
        <w:t>2025-5250</w:t>
      </w:r>
    </w:p>
    <w:p>
      <w:pPr>
        <w:pStyle w:val="Heading1"/>
      </w:pPr>
      <w:r>
        <w:t>Предписание</w:t>
      </w:r>
    </w:p>
    <w:p>
      <w:r>
        <w:t>ГБУЗ «НПЦ спец.мед.помощи детям</w:t>
        <w:br/>
        <w:t>ДЗМ»</w:t>
        <w:br/>
        <w:t>HTXM-zakupki-npcmpd@zdrav.mos.ru</w:t>
        <w:br/>
        <w:t>ООО «АЛМАЗ»</w:t>
        <w:br/>
        <w:t>trimar.opt@gmail.com</w:t>
        <w:br/>
        <w:t>АО «ЕЭТП»</w:t>
        <w:br/>
        <w:t>ko@roseltorg.ru</w:t>
        <w:br/>
        <w:t>ПРЕДПИСАНИЕ</w:t>
        <w:br/>
        <w:t>по делу № 077/06/106-1290/2025 об устранении нарушений</w:t>
        <w:br/>
        <w:t>законодательства о контрактной системе</w:t>
        <w:br/>
        <w:t>05.02.2025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 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от 05.02.2025 по делу</w:t>
        <w:br/>
        <w:t>№077/06/106-1290/2025 , по итогам рассмотрения жалобы ООО «АЛМАЗ» (далее</w:t>
        <w:br/>
        <w:t>— Заявитель) на действия ГБУЗ «НПЦ спец.мед.помощи детям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изделий для сбора,</w:t>
        <w:br/>
        <w:t>хранения, транспортировки и утилизации медицинских отходов (пакет) для нужд</w:t>
        <w:br/>
        <w:t>ГБУЗ «НПЦ спец.мед.помощи детям ДЗМ» (Закупка № 0373200034825000022)</w:t>
        <w:br/>
        <w:t>(далее – аукцион)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2025-5259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 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 по закупке:</w:t>
      </w:r>
    </w:p>
    <w:p>
      <w:r>
        <w:t>- привести извещение об осуществлении закупки в соответствие</w:t>
        <w:br/>
        <w:t>с требованиями Закона о контрактной системе и с учетом решения от 05.02.2025 по</w:t>
        <w:br/>
        <w:t>делу № 077/06/106-1290/2025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05.02.2025 по делу № 077/06/106-1290/2025 .</w:t>
        <w:br/>
        <w:t>6. Заказчику, комиссии по осуществлению закупок в срок до 05.03.2025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2025-5259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</w:r>
    </w:p>
    <w:p>
      <w:r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05.02.2025 по делу № 077/06/106-1290/2025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О.А. Челнова</w:t>
        <w:br/>
        <w:t>Исп.Мартьянова Е.Д.</w:t>
        <w:br/>
        <w:t>тел.(495) 784-75-05</w:t>
        <w:br/>
        <w:t>2025-5259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