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202500132489011152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0373200001325000856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В.В. Вересаева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https://zakupki.gov.ru/epz/complaint/card/complaint-information.html?complaintNumber=202500132489011152</w:t>
      </w:r>
    </w:p>
    <w:p/>
    <w:p>
      <w:pPr>
        <w:pStyle w:val="Heading1"/>
      </w:pPr>
      <w:r>
        <w:t>Решение</w:t>
      </w:r>
    </w:p>
    <w:p>
      <w:r>
        <w:t>ГБУЗ «ГКБ им. В.В. Вересаева ДЗМ»</w:t>
        <w:br/>
        <w:t>ZMIG-veresaeva-torgi@zdrav.mos.ru</w:t>
        <w:br/>
        <w:t>ООО «ТД «Политон-Тех»</w:t>
        <w:br/>
        <w:t>politon_td@mail.ru</w:t>
        <w:br/>
        <w:t>АО«ЕЭТП»</w:t>
        <w:br/>
        <w:t>ko@roseltorg.ru</w:t>
        <w:br/>
        <w:t>РЕШЕНИЕ</w:t>
        <w:br/>
        <w:t>по делу № 077/06/106-9604/2025 о нарушении</w:t>
        <w:br/>
        <w:t>законодательства о контрактной системе</w:t>
        <w:br/>
        <w:t>30.07.2025 Москва</w:t>
        <w:br/>
        <w:t>Комиссия Управления Федеральной антимонопольной службы по г. Москве</w:t>
        <w:br/>
        <w:t>по контролю в сфере закупок товаров, работ, услуг (далее – Комиссия Управления) в</w:t>
        <w:br/>
        <w:t>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разряда отдела обжалования государственных</w:t>
        <w:br/>
        <w:t>закупок М.О. Мацневой,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представителя ГБУЗ «ГКБ им. В.В. Вересаева ДЗМ» : Мусией И.Л.</w:t>
        <w:br/>
        <w:t>(по доверенности № 286 от 28.12.2024);</w:t>
        <w:br/>
        <w:t>в отсутствие представителей ООО «ТД «Политон-Тех» о времени и порядке</w:t>
        <w:br/>
        <w:t>заседания Комиссии Управления уведомлены надлежащим образом посредством</w:t>
        <w:br/>
        <w:t>функционала Единой информационной системы ,</w:t>
        <w:br/>
        <w:t>рассмотрев жалобу ООО «ТД «Политон-Тех» (далее — Заявитель) на действия</w:t>
        <w:br/>
        <w:t>ГБУЗ «ГКБ им. В.В. Вересаева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товаров (Картридж для электрографических печатающих устройств) для</w:t>
        <w:br/>
        <w:t>отделений стационара ГБУЗ «ГКБ им. В.В. Вересаева ДЗМ» в 2025 г (Закупка</w:t>
        <w:br/>
        <w:t>№ 0373200001325000856) (далее – аукцион) в соответствии с Федеральным законом</w:t>
        <w:br/>
        <w:t>от 05.04.2013 №44-ФЗ «О контрактной системе в сфере закупок товаров, работ,</w:t>
        <w:br/>
        <w:t>2025-34857</w:t>
        <w:br/>
        <w:t>2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аукциона.</w:t>
        <w:br/>
        <w:t>На заседании Комиссией Управления рассмотрены документы</w:t>
        <w:br/>
        <w:t>и сведения, запрашиваемые посредством Единой информационной системы,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содержать, в том числе, описание объекта закупки в соответствии</w:t>
        <w:br/>
        <w:t>со ст.33 Закона о контрактной системе.</w:t>
        <w:br/>
        <w:t>Ч.1 ст.33 Закона о контрактной системе установлено, что Заказчик в случаях,</w:t>
        <w:br/>
        <w:t>предусмотренных Законом о контрактной системе, при описании объекта закупки</w:t>
        <w:br/>
        <w:t>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2025-34857</w:t>
        <w:br/>
        <w:t>3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</w:r>
    </w:p>
    <w:p>
      <w:r>
        <w:t>обозначения и терминология, в таком описании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Согласно ч.1.1 ст. 33 Закона о контрактной системе при описании</w:t>
        <w:br/>
        <w:t>являющегося объектом закупки товара (в том числе поставляемого при выполнении</w:t>
        <w:br/>
        <w:t>закупаемой работы, оказании закупаемой услуги), в отношении которого</w:t>
        <w:br/>
        <w:t>установлены предусмотренные п. 1 ч. 2 т. 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части 1 настоящей статьи, должно</w:t>
        <w:br/>
        <w:t>содержать показатели, позволяющие определить соответствие закупаемых товара,</w:t>
        <w:br/>
        <w:t>работы, услуги установленным заказчиком требованиям. При этом указываются</w:t>
        <w:br/>
        <w:t>максимальные и (или) минимальные значения таких показателей и (или) значения</w:t>
        <w:br/>
        <w:t>показателей, которые не могут изменяться.</w:t>
        <w:br/>
        <w:t>Комиссией Управления установлено, что согласно описанию объекта закупки</w:t>
        <w:br/>
        <w:t>Заказчиком установлены требования к закупаемым товарам, в том числе:</w:t>
        <w:br/>
        <w:t>Картридж для электрографических печатающих устройств.</w:t>
        <w:br/>
        <w:t>Идентификаторы: 187297194, 187297195, 187297196, 187297197, КТРУ</w:t>
        <w:br/>
        <w:t>20.59.12.120-00000002:</w:t>
        <w:br/>
        <w:t>Модель комплектующего изделия/ расходного материала: W2030X, W2032X,</w:t>
        <w:br/>
        <w:t>W2031X, W2033X.</w:t>
        <w:br/>
        <w:t>Значение характеристики не может изменяться участником закупки.</w:t>
        <w:br/>
        <w:t>Товарный знак производителя оргтехники: Hewlett-Packard</w:t>
        <w:br/>
        <w:t>Значение характеристики не может изменяться участником закупки.</w:t>
        <w:br/>
        <w:t>Требование оригинальности комплектующего изделия/ расходного</w:t>
        <w:br/>
        <w:t>материала: Оригинальный(ая).</w:t>
        <w:br/>
        <w:t>Значение характеристики не может изменяться участником закупки.</w:t>
        <w:br/>
        <w:t>Согласно доводам жалобы Заказчиком в составе извещения неправомерно</w:t>
        <w:br/>
        <w:t>установлено требование о поставке исключительно оригинальных товаров, в том</w:t>
        <w:br/>
        <w:t>числе по вышеуказанным позициям, без возможности поставки совместимой</w:t>
        <w:br/>
        <w:t>продукции.</w:t>
        <w:br/>
        <w:t>В соответствии с ч.1 ст. 106 Закона о контрактной системе лица, права и</w:t>
        <w:br/>
        <w:t>законные интересы которых непосредственно затрагиваются в результате</w:t>
        <w:br/>
        <w:t>2025-34857</w:t>
        <w:br/>
        <w:t>4</w:t>
        <w:br/>
        <w:t>рассмотрения жалобы, вправе направить в контрольный орган в сфере закупок</w:t>
        <w:br/>
        <w:t>возражения на жалобу и участвовать в ее рассмотрении лично или через своих</w:t>
        <w:br/>
        <w:t>представителей.</w:t>
        <w:br/>
        <w:t>На заседание Комиссией Управления представитель Заказчика пояснил, что</w:t>
        <w:br/>
        <w:t>04.09.2024 между ГБУЗ г. Москвы «Городская клиническая больница имени В.В.</w:t>
      </w:r>
    </w:p>
    <w:p>
      <w:r>
        <w:t>Вересаева ДЗМ» и ИП Салкуцан И.В. был заключен Контракт № 1433044/24 от</w:t>
        <w:br/>
        <w:t>04.09.2024 на поставку компьютерной техники и периферии (МФУ) для нужд</w:t>
        <w:br/>
        <w:t>стационара для ГБУЗ «ГКБ им. В.В. Вересаева ДЗМ» в 2024 году на сумму 60 900</w:t>
        <w:br/>
        <w:t>(шестьдесят тысяч девятьсот) рублей 00 (ноль) копеек.</w:t>
        <w:br/>
        <w:t>В рамках исполнения данного Контракта Заказчиком получены и приняты на</w:t>
        <w:br/>
        <w:t>баланс 1 МФУ HP Color LaserJet Pro MFP M479dw.</w:t>
        <w:br/>
        <w:t>В соответствии с технической документацией на МФУ гарантийный срок</w:t>
        <w:br/>
        <w:t>составляет 12 месяцев с даты эксплуатации и в настоящее время МФУ находятся на</w:t>
        <w:br/>
        <w:t>гарантийном обслуживании.</w:t>
        <w:br/>
        <w:t>Согласно технической документации на указанное оборудование (руководство</w:t>
        <w:br/>
        <w:t>пользователя) МФУ рассчитано на работу с подлинными компонентами и</w:t>
        <w:br/>
        <w:t>расходными материалами.</w:t>
        <w:br/>
        <w:t>Ущерб, возникший в результате использования компонентов и расходных</w:t>
        <w:br/>
        <w:t>материалов сторонних производителей, не покрывается гарантией.</w:t>
        <w:br/>
        <w:t>Гарантийные обязательства производителя не распространяются на какие-</w:t>
        <w:br/>
        <w:t>либо повреждения, вызванные использованием не оригинальных расходных</w:t>
        <w:br/>
        <w:t>материалов или компонентов (стр. 12, 33 руководства пользователя).</w:t>
        <w:br/>
        <w:t>Вместе с тем Комиссией Управления был объявлен перерыв для истребования</w:t>
        <w:br/>
        <w:t>документов и сведений, подтверждающих гарантийные обязательства на</w:t>
        <w:br/>
        <w:t>используемое Заказчиком оборудование, для которого в настоящей закупке и</w:t>
        <w:br/>
        <w:t>закупаются запасные части и расходные материалы, а именно: руководство по</w:t>
        <w:br/>
        <w:t>эксплуатации к конкретному устройству, гарантийные талоны, гарантийные карты</w:t>
        <w:br/>
        <w:t>по ранее заключенному Заказчиком контракту на поставку соответствующего</w:t>
        <w:br/>
        <w:t>оборудования.</w:t>
        <w:br/>
        <w:t>Так, после объявления перерыва в рассмотрении жалобы, представителем</w:t>
        <w:br/>
        <w:t>Заказчика представлены следующие документы:</w:t>
        <w:br/>
        <w:t>Контракт № 1433044/24 от 04.09.2024; гарантийное письмо (исх. 04/2024 от</w:t>
        <w:br/>
        <w:t>06.09.2024) к контракту, в котором, в том числе указано, что гарантийный случай</w:t>
        <w:br/>
        <w:t>собл.дается исключительно при использовании оригинальных расходных</w:t>
        <w:br/>
        <w:t>материалов и иных оригинальных деталей для данного оборудования, в случае</w:t>
        <w:br/>
        <w:t>использования иных аналоговых деталей — случай не может быть гарантийным;</w:t>
        <w:br/>
        <w:t>инвентарная карточка от 16.09.2024 на МФУ HP Color LaserJet Pro MFP M479dw;</w:t>
        <w:br/>
        <w:t>скриншот с сайта HP, в котором указано, что HP не может гарантировать качество</w:t>
        <w:br/>
        <w:t>или надежную работу картриджей сторонних производителей или повторно</w:t>
      </w:r>
    </w:p>
    <w:p>
      <w:r>
        <w:t>заправленных картриджей. HP рекомендует использовать оригинальные расходные</w:t>
        <w:br/>
        <w:t>материалы HP для струйной и лазерной печати.</w:t>
        <w:br/>
        <w:t>Согласно ст. 469 Гражданского кодекса Российской Федерации (далее - ГК РФ)</w:t>
        <w:br/>
        <w:t>продавец обязан передать покупателю товар, качество которого соответствует</w:t>
        <w:br/>
        <w:t>договору купли-продажи.</w:t>
        <w:br/>
        <w:t>2025-34857</w:t>
        <w:br/>
        <w:t>5</w:t>
        <w:br/>
        <w:t>Согласно п. 2 ст. 470 ГК РФ в случае, когда договором купли-продажи</w:t>
        <w:br/>
        <w:t>предусмотрено предоставление продавцом гарантии качества товара, продавец</w:t>
        <w:br/>
        <w:t>обязан передать покупателю товар, который должен соответствовать требованиям,</w:t>
        <w:br/>
        <w:t>предусмотренным статьей 469 ГК РФ, в течение определенного времени,</w:t>
        <w:br/>
        <w:t>установленного договором (гарантийного срока).</w:t>
        <w:br/>
        <w:t>При этом ст. 721 ГК РФ исполнитель должен оказать услуги, качество которых</w:t>
        <w:br/>
        <w:t>соответствует требованиям предъявляемым к услугам данного вида.</w:t>
        <w:br/>
        <w:t>Комиссия Управления отмечает, что в данном случае речь идёт не о</w:t>
        <w:br/>
        <w:t>фактической совместимости или несовместимости оборудования Заказчика и</w:t>
        <w:br/>
        <w:t>расходных материалов сторонних производителей, а о потребности Заказчика в</w:t>
        <w:br/>
        <w:t>оригинальных расходных материалов, для сохранении гарантии на имеющееся у</w:t>
        <w:br/>
        <w:t>него оборудование.</w:t>
        <w:br/>
        <w:t>Таким образом, в случае неисправности оборудования Заказчика, по причине</w:t>
        <w:br/>
        <w:t>использования расходных материалов иных производителей, Заказчик будет лишён</w:t>
        <w:br/>
        <w:t>права бесплатного обслуживания и ремонта оборудования.</w:t>
        <w:br/>
        <w:t>Из совокупности положений Закона о контрактной системе следует, что</w:t>
        <w:br/>
        <w:t>установление требований к техническим, функциональным характеристикам</w:t>
        <w:br/>
        <w:t>товара, работ, услуг, а также иных показателей, связанных с определением</w:t>
        <w:br/>
        <w:t>соответствия поставляемого товара, выполняемых работ, оказываемых услуг</w:t>
        <w:br/>
        <w:t>существующим потребностям, является прерогативой Заказчика.</w:t>
        <w:br/>
        <w:t>Комиссия Управления отмечает, что в составе документов и сведений,</w:t>
        <w:br/>
        <w:t>представленных представителем Заказчика в составе возражений, не установлен</w:t>
        <w:br/>
        <w:t>прямой запрет производителя на использование расходных материалов иных</w:t>
        <w:br/>
        <w:t>производителей, а также не представлено документов, например, руководство</w:t>
        <w:br/>
        <w:t>пользователя, писем производителя, в которых может быть установлен прямой</w:t>
        <w:br/>
        <w:t>запрет производителя на использование расходных материалов иных</w:t>
        <w:br/>
        <w:t>производителей, что фактически не говорит о том, что Заказчик будет лишен</w:t>
        <w:br/>
        <w:t>гарантийного обслуживания.</w:t>
        <w:br/>
        <w:t>Таким образом, в отсутствие доказательств со стороны Заказчика о прямой</w:t>
        <w:br/>
        <w:t>необходимости в оригинальности товаров производителей HP, оспариваемое</w:t>
        <w:br/>
        <w:t>требование установлено неправомерно.</w:t>
        <w:br/>
        <w:t>На основе вышеизложенного, Комиссия Управления приходит к выводу о</w:t>
      </w:r>
    </w:p>
    <w:p>
      <w:r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 6 ст. 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2025-34857</w:t>
        <w:br/>
        <w:t>6</w:t>
        <w:br/>
        <w:t>Р Е Ш И Л А:</w:t>
        <w:br/>
        <w:t>1.Признать жалобу ООО «ТД «Политон-Тех» на действия ГБУЗ «ГКБ им. В.В.</w:t>
        <w:br/>
        <w:t>Вересаева ДЗМ» обоснованной.</w:t>
        <w:br/>
        <w:t>2.Признать в действиях Заказчика нарушения п.1 ч.1 ст.33 Закона о</w:t>
        <w:br/>
        <w:t>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гл. 24 АПК РФ.</w:t>
        <w:br/>
        <w:t>Председательствующий А.А. Кутейников</w:t>
        <w:br/>
        <w:t>Члены комиссии: А.А. Матюшенко</w:t>
        <w:br/>
        <w:t>М.О.Мацнева</w:t>
        <w:br/>
        <w:t>Исп.Мацнева М.О.</w:t>
        <w:br/>
        <w:t>тел.8(495)784-75-05</w:t>
        <w:br/>
        <w:t>2025-34857</w:t>
      </w:r>
    </w:p>
    <w:p>
      <w:pPr>
        <w:pStyle w:val="Heading1"/>
      </w:pPr>
      <w:r>
        <w:t>Предписание</w:t>
      </w:r>
    </w:p>
    <w:p>
      <w:r>
        <w:t>ГБУЗ «ГКБ им. В.В. Вересаева ДЗМ»</w:t>
        <w:br/>
        <w:t>ZMIG-veresaeva-torgi@zdrav.mos.ru</w:t>
        <w:br/>
        <w:t>ООО «ТД «Политон-Тех»</w:t>
        <w:br/>
        <w:t>politon_td@mail.ru</w:t>
        <w:br/>
        <w:t>АО«ЕЭТП»</w:t>
        <w:br/>
        <w:t>ko@roseltorg.ru</w:t>
        <w:br/>
        <w:t>ПРЕДПИСАНИЕ</w:t>
        <w:br/>
        <w:t>по делу № 077/06/106-9604/2025 об устранении нарушений</w:t>
        <w:br/>
        <w:t>законодательства о контрактной системе</w:t>
        <w:br/>
        <w:t>30.07.2025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разряда отдела обжалования государственных</w:t>
        <w:br/>
        <w:t>закупок М.О. Мацневой,</w:t>
        <w:br/>
        <w:t>на основании решения Комиссии Управления от 30.07.2025 по делу</w:t>
        <w:br/>
        <w:t>№ 077/06/106-9604/2025 , по итогам рассмотрения жалобы ООО «ТД «Политон-Тех»</w:t>
        <w:br/>
        <w:t>(далее — Заявитель) на действия ГБУЗ «ГКБ им. В.В. Вересаева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товаров (Картридж для электрографических</w:t>
        <w:br/>
        <w:t>печатающих устройств) для отделений стационара ГБУЗ «ГКБ им. В.В. Вересаева</w:t>
        <w:br/>
        <w:t>ДЗМ» в 2025 г (Закупка № 0373200001325000856) (далее — Аукцион) 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2025-34868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</w:r>
    </w:p>
    <w:p>
      <w:r>
        <w:t>с требованиями Закона о контрактной системе и с учетом решения от 30.07.2025 по</w:t>
        <w:br/>
        <w:t>делу № 077/06/106-9604/2025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30.07.2025 по делу № 077/06/106-9604/2025 .</w:t>
        <w:br/>
        <w:t>6. Заказчику, комиссии по осуществлению закупок Заказчика в срок до</w:t>
        <w:br/>
        <w:t>01.09.2025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2025-34868</w:t>
        <w:br/>
        <w:t>3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</w:r>
    </w:p>
    <w:p>
      <w:r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30.07.2025 по делу № 077/06/106-9604/2025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 А.А. Кутейников</w:t>
        <w:br/>
        <w:t>Члены комиссии: А.А. Матюшенко</w:t>
        <w:br/>
        <w:t>М.О.Мацнева</w:t>
        <w:br/>
        <w:t>Исп.Мацнева М.О.</w:t>
        <w:br/>
        <w:t>тел.8(495)784-75-05</w:t>
        <w:br/>
        <w:t>2025-34868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