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202500132489012064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14.08.2025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0373200032125000060</w:t>
      </w:r>
    </w:p>
    <w:p>
      <w:r>
        <w:rPr>
          <w:b/>
        </w:rPr>
        <w:t xml:space="preserve">Заказчик: </w:t>
      </w:r>
      <w:r>
        <w:t>Государственное бюджетное учреждение города Москвы «Научно-практический реабилитационный центр»</w:t>
      </w:r>
    </w:p>
    <w:p>
      <w:r>
        <w:rPr>
          <w:b/>
        </w:rPr>
        <w:t xml:space="preserve">Заявитель: </w:t>
      </w:r>
      <w:r>
        <w:t>ООО «Торговый дом »Политон-тех""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https://zakupki.gov.ru/epz/complaint/card/complaint-information.html?complaintNumber=202500132489012064</w:t>
      </w:r>
    </w:p>
    <w:p/>
    <w:p>
      <w:pPr>
        <w:pStyle w:val="Heading1"/>
      </w:pPr>
      <w:r>
        <w:t>Решение</w:t>
      </w:r>
    </w:p>
    <w:p>
      <w:r>
        <w:t>ГБУ «НПРЦ»</w:t>
        <w:br/>
        <w:t>nprc-tender@social.mos.ru</w:t>
        <w:br/>
        <w:t>ООО «ТД «Политон-Тех»</w:t>
        <w:br/>
        <w:t>politon_td@mail.ru</w:t>
        <w:br/>
        <w:t>АО«ЕЭТП»</w:t>
        <w:br/>
        <w:t>ko@roseltorg.ru</w:t>
        <w:br/>
        <w:t>РЕШЕНИЕ</w:t>
        <w:br/>
        <w:t>по делу №077/06/106-10102/2025 о нарушении</w:t>
        <w:br/>
        <w:t>законодательства о контрактной системе</w:t>
        <w:br/>
        <w:t>14.08.2025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 ,</w:t>
        <w:br/>
        <w:t>Членов Комиссии:</w:t>
        <w:br/>
        <w:t>Ведущего специалиста-эксперта отдела обжалования государственных закупок</w:t>
        <w:br/>
        <w:t>Э.З. Гугава,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ГБУ «НПРЦ»: Д.В. Трухина (по дов.№б/н от 22.10.2024),</w:t>
        <w:br/>
        <w:t>ООО «ТД «Политон-Тех»: Э.Д. Исхакова (по дов.№1 от 13.08.2025),</w:t>
        <w:br/>
        <w:t>рассмотрев жалобу ООО «ТД «Политон-Тех» (далее — Заявитель) при</w:t>
        <w:br/>
        <w:t>проведении запроса котировок в электронной форме на право заключения</w:t>
        <w:br/>
        <w:t>государственного контракта на поставку расходных материалов для оргтехники</w:t>
        <w:br/>
        <w:t>(Закупка №0373200032125000060) (далее – запрос котировок 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2025-37468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запроса котировок.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В результате рассмотрения жалобы, рассмотрев представленные документы</w:t>
        <w:br/>
        <w:t>и сведения, запрашиваемые Московским УФАС России, Комиссия Управления</w:t>
        <w:br/>
        <w:t>установила следующее.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Ч.1 ст.33 Закона о контрактной системе установлено, что Заказчик при описании</w:t>
        <w:br/>
        <w:t>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 требования</w:t>
        <w:br/>
        <w:t>или 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</w:r>
    </w:p>
    <w:p>
      <w:r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 и</w:t>
        <w:br/>
        <w:t>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2025-37468</w:t>
        <w:br/>
        <w:t>3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 закупки</w:t>
        <w:br/>
        <w:t>не используются установленные в соответствии с законодательством Российской</w:t>
        <w:br/>
        <w:t>Федерации о техническом регулировании, законодательством Российской Федерации</w:t>
        <w:br/>
        <w:t>о стандартизации показатели, требования, условные обозначения и терминология, в</w:t>
        <w:br/>
        <w:t>таком описании должно содержаться обоснование необходимости использования</w:t>
        <w:br/>
        <w:t>других показателей, требований, условных обозначений и терминологии.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</w:r>
    </w:p>
    <w:p>
      <w:r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установлено, что согласно описанию объекта закупки</w:t>
        <w:br/>
        <w:t>Заказчиком установлены следующие требования к следующим закупаемым</w:t>
        <w:br/>
        <w:t>расходным материалам, например:</w:t>
        <w:br/>
        <w:t>по п. «Барабан (фотобарабан/ фотокондуктор/ фоторецептор) для лазерных</w:t>
        <w:br/>
        <w:t>многофункциональных устройств (МФУ). Идентификатор: 188387578» кода ОКПД2</w:t>
        <w:br/>
        <w:t>26.20.40.120: «Товарный знак производителя оргтехники: Ricoh», «Требование</w:t>
        <w:br/>
        <w:t>оригинальности комплектующего изделия/ расходного материала:</w:t>
        <w:br/>
        <w:t>Совместимый(ая)»;</w:t>
        <w:br/>
        <w:t>по п. «Картридж для электрографических печатающих устройств.</w:t>
        <w:br/>
        <w:t>Идентификатор: 188387579» позиции КТРУ 20.59.12.120-00000002: «Товарный знак</w:t>
        <w:br/>
        <w:t>производителя оргтехники: Lexmark», «Требование оригинальности</w:t>
        <w:br/>
        <w:t>комплектующего изделия/ расходного материала: Оригинальный(ая)»;</w:t>
        <w:br/>
        <w:t>по п. «Картридж для электрографических печатающих устройств.</w:t>
        <w:br/>
        <w:t>Идентификатор: 188387582» позиции КТРУ 20.59.12.120-00000002: «Товарный знак</w:t>
        <w:br/>
        <w:t>производителя оргтехники: Xerox», «Требование оригинальности комплектующего</w:t>
        <w:br/>
        <w:t>изделия/ расходного материала: Совместимый(ая)»;</w:t>
        <w:br/>
        <w:t>Заявитель обжалует действия Заказчика, выразившиеся закупке</w:t>
        <w:br/>
        <w:t>оригинальных расходных материалов без возможности поставки эквивалентной</w:t>
        <w:br/>
        <w:t>продукции, что делает невозможным применение защитных мер национального</w:t>
        <w:br/>
        <w:t>режима.</w:t>
        <w:br/>
        <w:t>2025-37468</w:t>
        <w:br/>
        <w:t>4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рамках обжалуемой закупки Заказчиком закупаются расходные материалы</w:t>
        <w:br/>
        <w:t>«Lexmark», требование оригинальности обосновано объективными потребностями</w:t>
        <w:br/>
        <w:t>Заказчика, связанными с техническими характеристиками оборудования, при этом</w:t>
        <w:br/>
        <w:t>согласно документации производителя Lexmark, доступной на официальном сайте</w:t>
        <w:br/>
        <w:t>и в эксплуатационных инструкциях, использование неоригинальных картриджей</w:t>
        <w:br/>
        <w:t>может привести к потере гарантии, снижению качества печати, повреждению</w:t>
        <w:br/>
        <w:t>оборудования или несовместимости с чипами. При этом данное требование об</w:t>
        <w:br/>
        <w:t>оригинальности.</w:t>
        <w:br/>
        <w:t>Вместе с тем требование оригинальности не ограничивает количество</w:t>
        <w:br/>
        <w:t>участников, поскольку оригинальные картриджи «Lexmark» распространены на</w:t>
        <w:br/>
        <w:t>рынке (дистрибьюторы, реселлеры), что подтверждается 7 поданными заявкам на</w:t>
        <w:br/>
        <w:t>участие в настоящем запросе котировок.</w:t>
        <w:br/>
        <w:t>Представитель Заказчика обращает внимание на тот факт, что требование</w:t>
      </w:r>
    </w:p>
    <w:p>
      <w:r>
        <w:t>оригинальности применено не для всех позиций, а только для конкретных (позиции</w:t>
        <w:br/>
        <w:t>2–4 Приложения №1 к Техническому заданию: картриджи для Lexmark), по</w:t>
        <w:br/>
        <w:t>позициям 1, 5–10 указано требование о совместимости, что не противоречит</w:t>
        <w:br/>
        <w:t>положениям Закона о контрактной системе.</w:t>
        <w:br/>
        <w:t>Одновременно с вышеизложенным Комиссия Управления отмечает, что</w:t>
        <w:br/>
        <w:t>представителем Заказчика не представлено документов, указывающих на</w:t>
        <w:br/>
        <w:t>необходимость использования Заказчиком исключительно оригинальных</w:t>
        <w:br/>
        <w:t>картриджей «Lexmark» при эксплуатации имеющегося у Заказчика оборудования.</w:t>
        <w:br/>
        <w:t>В частности, не представлено технической документации на оборудование</w:t>
        <w:br/>
        <w:t>Заказчика, содержащей указание на совместимость оборудования исключительно с</w:t>
        <w:br/>
        <w:t>оригинальными картриджами, а также не представлено сведений, указывающих на</w:t>
        <w:br/>
        <w:t>то, что оборудования Заказчика находится на гарантийном обслуживании</w:t>
        <w:br/>
        <w:t>производителя или поставщика и условия такого обслуживания, что не позволяет</w:t>
        <w:br/>
        <w:t>Комиссии Управления прийти к выводу о том, что в данном случае Заказчик обязан</w:t>
        <w:br/>
        <w:t>использовать исключительно оригинальные картриджи.</w:t>
        <w:br/>
        <w:t>Из совокупности положений Закона о контрактной системе следует, что</w:t>
        <w:br/>
        <w:t>установление требований к техническим, функциональным характеристикам</w:t>
        <w:br/>
        <w:t>товара, работ, услуг, а также иных показателей, связанных с определением</w:t>
        <w:br/>
        <w:t>соответствия поставляемого товара, выполняемых работ, оказываемых услуг</w:t>
        <w:br/>
        <w:t>существующим потребностям, является прерогативой Заказчика.</w:t>
        <w:br/>
        <w:t>В ходе изучения представленных документов и сведений Комиссией</w:t>
        <w:br/>
        <w:t>Управления также определено, что каких-либо положений регламентирующих, что</w:t>
        <w:br/>
        <w:t>использование не оригинальных расходных материалов повлечет за собой снятие</w:t>
        <w:br/>
        <w:t>2025-37468</w:t>
        <w:br/>
        <w:t>5</w:t>
        <w:br/>
        <w:t>гарантийных обязательств и невозможность ремонта оборудования Заказчиком не</w:t>
        <w:br/>
        <w:t>указано, Комиссией Управления не установлено.</w:t>
        <w:br/>
        <w:t>Вместе с тем Закон о контрактной системе не содержит норм,</w:t>
        <w:br/>
        <w:t>ограничивающих право Заказчика включать описание объекта закупки требования,</w:t>
        <w:br/>
        <w:t>которые являются для него объективно значимыми, и, обязывающих Заказчика</w:t>
        <w:br/>
        <w:t>устанавливать в извещении, вопреки его потребностям, такие требования к</w:t>
        <w:br/>
        <w:t>характеристикам объекта закупки, которые соответствовали бы всем</w:t>
        <w:br/>
        <w:t>существующим видам товаров.</w:t>
        <w:br/>
        <w:t>Так, основной задачей законодательства, устанавливающего порядок</w:t>
        <w:br/>
        <w:t>проведения закупок, является не столько обеспечение максимально широкого круга</w:t>
        <w:br/>
        <w:t>участников закупки, сколько выявление в результате торгов лица, исполнение</w:t>
        <w:br/>
        <w:t>контракта которым в наибольшей степени будет отвечать целям эффективного</w:t>
        <w:br/>
        <w:t>использования источников финансирования, предотвращения злоупотреблений в</w:t>
      </w:r>
    </w:p>
    <w:p>
      <w:r>
        <w:t>сфере закупок товаров, работ, услуг для обеспечения государственных и</w:t>
        <w:br/>
        <w:t>муниципальных нужд.</w:t>
        <w:br/>
        <w:t>Кроме того, Комиссия Управления отмечает, что если у Заказчика имеются</w:t>
        <w:br/>
        <w:t>определенные обоснованные потребности в получении тех или иных товаров, он</w:t>
        <w:br/>
        <w:t>вправе устанавливать соответствующие требования к товарам, но таким образом,</w:t>
        <w:br/>
        <w:t>чтобы такие требования соответствовали требованиям с.33 Закона о контрактной</w:t>
        <w:br/>
        <w:t>системе, не ограничивали количество участников закупки, и в составе одного лота</w:t>
        <w:br/>
        <w:t>не закупались наряду с товарами, производимыми неограниченным кругом</w:t>
        <w:br/>
        <w:t>производителей уникальные товары единственного производителя, отсутствующие</w:t>
        <w:br/>
        <w:t>в свободном доступе, в том числе для приобретения которых необходимо</w:t>
        <w:br/>
        <w:t>заключать определенные договоры и соглашения с производителем оборудования.</w:t>
        <w:br/>
        <w:t>Комиссия Управления отмечает, что ст.33 Закона о контрактной системе</w:t>
        <w:br/>
        <w:t>содержит в себе закрытый перечень случаев, когда Заказчик в праве закупать товары</w:t>
        <w:br/>
        <w:t>конкретного производителя, вместе с тем, в рамках рассмотрения данной жалобы</w:t>
        <w:br/>
        <w:t>Заказчиком не представлено документов и сведений, подтверждающих, что в</w:t>
        <w:br/>
        <w:t>данном случае применимы условия отраженные в пп. «б» - «г» п.1 ч.1 ст.33 Закона о</w:t>
        <w:br/>
        <w:t>контрактной системе.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соответствие описания объекта закупки требованиям действующего</w:t>
        <w:br/>
        <w:t>законодательства.</w:t>
        <w:br/>
        <w:t>Таким образом, Комиссия Управления приходит к выводу о том, что</w:t>
        <w:br/>
        <w:t>необходимость поставки оригинальных расходным материалов «Lexmark»</w:t>
        <w:br/>
        <w:t>обусловлена обоснованной потребностью Заказчика, не может являться</w:t>
        <w:br/>
        <w:t>нарушением Закона о контрактной системе, однако Заказчиком не представлены</w:t>
        <w:br/>
        <w:t>документы, указывающие на необходимость использования исключительно</w:t>
        <w:br/>
        <w:t>2025-37468</w:t>
        <w:br/>
        <w:t>6</w:t>
        <w:br/>
        <w:t>оригинальных расходных материалов.</w:t>
        <w:br/>
        <w:t>Вместе с тем Комиссия Управления отмечает, что Заказчиком неправомерно</w:t>
        <w:br/>
        <w:t>произведено объединение в один лот товарных позиций, по которым возможна</w:t>
        <w:br/>
        <w:t>поставка продукции единственного производителя, и товаров, по которым возможна</w:t>
        <w:br/>
        <w:t>поставка продукции нескольких производителей, в частности по позициям, в</w:t>
        <w:br/>
        <w:t>которых Заказчик допускает возможность поставки совместимой (т.е.</w:t>
        <w:br/>
        <w:t>неоригинальной) продукции.</w:t>
      </w:r>
    </w:p>
    <w:p>
      <w:r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Абз.3 п.1 Постановления №1875 установлены ограничение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по перечню согласно</w:t>
        <w:br/>
        <w:t>приложению № 2.</w:t>
        <w:br/>
        <w:t>П.6 Постановления №1875 установлено, что ограничение, предусмотренное</w:t>
        <w:br/>
        <w:t>п.1 Постановления №1875, может не применяться заказчиками при осуществлении</w:t>
        <w:br/>
        <w:t>закупок:</w:t>
        <w:br/>
        <w:t>а) товара определенного товарного знака ввиду его несовместимости с</w:t>
        <w:br/>
        <w:t>товарами, на которых размещаются другие товарные знаки, и необходимости</w:t>
        <w:br/>
        <w:t>обеспечения взаимодействия закупаемого товара с товарами, используемыми</w:t>
        <w:br/>
        <w:t>заказчиком, за исключением случаев осуществления закупок товара, указанного в</w:t>
        <w:br/>
        <w:t>позиции 371 приложения № 2 к Постановлению №1875;</w:t>
        <w:br/>
        <w:t>б) товара из числа запасных частей и расходных материалов к машинам и</w:t>
        <w:br/>
        <w:t>оборудованию, используемым заказчиком, в соответствии с технической</w:t>
        <w:br/>
        <w:t>2025-37468</w:t>
        <w:br/>
        <w:t>7</w:t>
        <w:br/>
        <w:t>документацией на указанные машины и оборудование. Положения настоящего</w:t>
        <w:br/>
        <w:t>подпункта не применяются при осуществлении закупок товаров, указанных в</w:t>
      </w:r>
    </w:p>
    <w:p>
      <w:r>
        <w:t>приложении № 2 к Постановлению №1875 и являющихся расходными</w:t>
        <w:br/>
        <w:t>материалами, комплектующими, принадлежностями к медицинским изделиям;</w:t>
        <w:br/>
        <w:t>в) товаров, указанных в позициях 100 и 101 приложения № 2 Постановлению</w:t>
        <w:br/>
        <w:t>№1875, в целях обеспечения нужд спорта высших достижений;</w:t>
        <w:br/>
        <w:t>г) товара из числа запасных частей и деталей к используемому оружию</w:t>
        <w:br/>
        <w:t>спортивному огнестрельному с нарезным стволом, происходящему из</w:t>
        <w:br/>
        <w:t>иностранного государства.</w:t>
        <w:br/>
        <w:t>Одновременно с этим Комиссией Управления установлено, что в данном</w:t>
        <w:br/>
        <w:t>случае Заказчиком применены ограничения закупок товаров,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лицами, предусмотренные Постановлением №1875.</w:t>
        <w:br/>
        <w:t>Однако, согласно описанию объекта закупки к поставке требуются в том</w:t>
        <w:br/>
        <w:t>числе, помимо совместимых картриджей, оригинальные расходные материалы без</w:t>
        <w:br/>
        <w:t>возможности поставки эквивалентной продукции, что делает невозможным</w:t>
        <w:br/>
        <w:t>применение защитных мер национального режима в соответствии с</w:t>
        <w:br/>
        <w:t>Постановлением №1875.</w:t>
        <w:br/>
        <w:t>На основе вышеизложенного, Комиссия Управления приходит к выводу о</w:t>
        <w:br/>
        <w:t>нарушении Заказчиком положений п.1 ч.1 ст.33 Закона о контрактной системе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</w:t>
        <w:br/>
        <w:t>ч.6 ст.7.30.1 Кодекса Российской Федерации об административных</w:t>
        <w:br/>
        <w:t>правонарушениях.</w:t>
        <w:br/>
        <w:t>Исследовав представленные материалы, Законом о контрактной системе,</w:t>
        <w:br/>
        <w:t>Комиссия Управления</w:t>
        <w:br/>
        <w:t>2025-37468</w:t>
        <w:br/>
        <w:t>8</w:t>
        <w:br/>
        <w:t>РЕШИЛА:</w:t>
        <w:br/>
        <w:t>1. Признать жалоб у ООО «ТД «Политон-Тех» на действия ГБУ «НПРЦ»</w:t>
        <w:br/>
        <w:t>обоснованной.</w:t>
        <w:br/>
        <w:t>2. Признать в действиях Заказчика нарушение п.1 ч.1 ст.33 Закона о</w:t>
        <w:br/>
        <w:t>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С.И. Казарин</w:t>
        <w:br/>
        <w:t>Члены комиссии:</w:t>
        <w:br/>
        <w:t>Э.З. Гугава</w:t>
        <w:br/>
        <w:t>О.А. Челнова</w:t>
        <w:br/>
        <w:t>Исп.Челнова О.А.</w:t>
        <w:br/>
        <w:t>тел.(495) 784-75-05, вн. 077-216</w:t>
        <w:br/>
        <w:t>2025-37468</w:t>
      </w:r>
    </w:p>
    <w:p>
      <w:pPr>
        <w:pStyle w:val="Heading1"/>
      </w:pPr>
      <w:r>
        <w:t>Предписание</w:t>
      </w:r>
    </w:p>
    <w:p>
      <w:r>
        <w:t>ГБУ «НПРЦ»</w:t>
        <w:br/>
        <w:t>nprc-tender@social.mos.ru</w:t>
        <w:br/>
        <w:t>ООО «ТД «Политон-Тех»</w:t>
        <w:br/>
        <w:t>politon_td@mail.ru</w:t>
        <w:br/>
        <w:t>АО«ЕЭТП»</w:t>
        <w:br/>
        <w:t>ko@roseltorg.ru</w:t>
        <w:br/>
        <w:t>ПРЕДПИСАНИЕ</w:t>
        <w:br/>
        <w:t>по делу №077/06/106-10102/2025 об устранении нарушений</w:t>
        <w:br/>
        <w:t>законодательства о контрактной системе</w:t>
        <w:br/>
        <w:t>14.08.2025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 ,</w:t>
        <w:br/>
        <w:t>Членов Комиссии:</w:t>
        <w:br/>
        <w:t>Ведущего специалиста-эксперта отдела обжалования государственных закупок</w:t>
        <w:br/>
        <w:t>Э.З. Гугава,</w:t>
        <w:br/>
        <w:t>Специалиста-эксперта отдела обжалования государственных закупок</w:t>
        <w:br/>
        <w:t>О.А. Челновой,</w:t>
        <w:br/>
        <w:t>на основании решения Комиссии от 14.08.2025 по делу №077/06/106-</w:t>
        <w:br/>
        <w:t>10102/2025, по итогам рассмотрения жалобы ООО «ТД «Политон-Тех» (далее —</w:t>
        <w:br/>
        <w:t>Заявитель) на действия ГБУ «НПРЦ» (далее — Заказчик) при проведении запроса</w:t>
        <w:br/>
        <w:t>котировок в электронной форме на право заключения государственного контракта</w:t>
        <w:br/>
        <w:t>на поставку расходных материалов для оргтехники</w:t>
        <w:br/>
        <w:t>(Закупка №0373200032125000060) (далее – запрос котировок) ,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— Закон о контрактной системе) ,</w:t>
        <w:br/>
        <w:t>2025-37470</w:t>
        <w:br/>
        <w:t>2</w:t>
        <w:br/>
        <w:t>ПРЕДПИСЫВАЕТ:</w:t>
        <w:br/>
        <w:t>1. Заказчику, Котировочной комиссии отменить протокол подведения итогов</w:t>
        <w:br/>
        <w:t>определения поставщика (подрядчика, исполнителя) в случае его наличия.</w:t>
        <w:br/>
        <w:t>2. Заказчику:</w:t>
        <w:br/>
        <w:t>- привести извещение о проведении запроса котировок в электронной форме в</w:t>
        <w:br/>
        <w:t>соответствие с требованиями Закона о контрактной системе и с учетом решения</w:t>
        <w:br/>
        <w:t>от 14.08.2025 по делу №077/06/106-10102/2025 , а также разместить</w:t>
        <w:br/>
        <w:t>соответствующее извещение на официальном сайте Российской Федерации в</w:t>
        <w:br/>
        <w:t>информационно-телекоммуникационной сети «Интернет» для размещения</w:t>
        <w:br/>
        <w:t>информации о размещении заказов на поставки товаров, выполнение работ, оказание</w:t>
        <w:br/>
        <w:t>услуг www.zakupki.gov.ru;</w:t>
        <w:br/>
        <w:t>- назначить новую дату окончания подачи котировочных заявок, дату и время</w:t>
        <w:br/>
        <w:t>начала подачи котировочных заявок, а также разместить на официальном сайте</w:t>
        <w:br/>
        <w:t>информацию об указанных датах. При этом срок подачи заявок на участие в запросе</w:t>
        <w:br/>
        <w:t>котировок должен быть установлен в соответствии с ч.4 ст.42 Закона о контрактной</w:t>
        <w:br/>
        <w:t>системе.</w:t>
        <w:br/>
        <w:t>3. Оператору электронной площадки обеспечить возможность Заказчику,</w:t>
        <w:br/>
        <w:t>котировочной комиссии исполнения пунктов 1, 2 настоящего предписания.</w:t>
        <w:br/>
        <w:t>4. Заказчику в срок до 15.09.2025 представить в Московское УФАС России</w:t>
        <w:br/>
        <w:t>подтверждение исполнения настоящего предписания в письменном виде, а также по</w:t>
      </w:r>
    </w:p>
    <w:p>
      <w:r>
        <w:t>факсимильной связи (8(495) 607-42-92)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2025-37470</w:t>
        <w:br/>
        <w:t>3</w:t>
        <w:br/>
        <w:t>Настоящее предписание от 14.08.2025 по делу№077/06/106-10102/2025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О.А. Челнова</w:t>
        <w:br/>
        <w:t>Э.З. Гугава</w:t>
        <w:br/>
        <w:t>Исп.Челнова О.А.</w:t>
        <w:br/>
        <w:t>тел.(495) 784-75-05, вн. 077-216</w:t>
        <w:br/>
        <w:t>2025-37470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