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202500132489013345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04.09.2025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0373100044925000014</w:t>
      </w:r>
    </w:p>
    <w:p>
      <w:r>
        <w:rPr>
          <w:b/>
        </w:rPr>
        <w:t xml:space="preserve">Заказчик: </w:t>
      </w:r>
      <w:r>
        <w:t>Федеральное казенное учреждение «Информационно-аналитический центр федерального дорожного агентства»</w:t>
      </w:r>
    </w:p>
    <w:p>
      <w:r>
        <w:rPr>
          <w:b/>
        </w:rPr>
        <w:t xml:space="preserve">Заявитель: </w:t>
      </w:r>
      <w:r>
        <w:t>ООО «Моноблок СПБ»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https://zakupki.gov.ru/epz/complaint/card/complaint-information.html?complaintNumber=202500132489013345</w:t>
      </w:r>
    </w:p>
    <w:p/>
    <w:p>
      <w:pPr>
        <w:pStyle w:val="Heading1"/>
      </w:pPr>
      <w:r>
        <w:t>Решение</w:t>
      </w:r>
    </w:p>
    <w:p>
      <w:r>
        <w:t>ФКУ «Росдоринформсвязь»</w:t>
        <w:br/>
        <w:t>rdis@rdis.fad.ru</w:t>
        <w:br/>
        <w:t>ООО «Моноблок СПБ»</w:t>
        <w:br/>
        <w:t>monoblockspb@mail.ru</w:t>
        <w:br/>
        <w:t>РТС-тендер</w:t>
        <w:br/>
        <w:t>info@rts-tender.ru</w:t>
        <w:br/>
        <w:t>РЕШЕНИЕ</w:t>
        <w:br/>
        <w:t>по делу №077/06/106-10938/2025 о нарушении</w:t>
        <w:br/>
        <w:t>законодательства о контрактной системе</w:t>
        <w:br/>
        <w:t>04.09.2025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Специалиста-эксперта отдела обжалования государственных закупок</w:t>
        <w:br/>
        <w:t>О.А. Челновой,</w:t>
        <w:br/>
        <w:t>Главного специалиста-эксперта отдела обжалования государственных закупок</w:t>
        <w:br/>
        <w:t>А.А. Матюшенко,</w:t>
        <w:br/>
        <w:t>рассмотрение жалоб проводилось дистанционно (посредством видео-</w:t>
        <w:br/>
        <w:t>конференц-связи), при участии представителей:</w:t>
        <w:br/>
        <w:t>ФКУ «Росдоринформсвязь»: Н.В. Александровой (дов.№79/25 от 03.09.2025),</w:t>
        <w:br/>
        <w:t>В.А. Заборского (дов.№80/25 от 03.09.2025), А.С. Семенова (дов.№54/25 от</w:t>
        <w:br/>
        <w:t>28.05.2025), Г.В. Урусовой (дов.№05/25 от 23.01.2025),</w:t>
        <w:br/>
        <w:t>ООО «Моноблок СПБ»: И.А Игнатьева (дов.№1 от 01.09.2025),</w:t>
        <w:br/>
        <w:t>рассмотрев жалобу ООО «Моноблок СПБ» (далее — Заявитель) на действия</w:t>
        <w:br/>
        <w:t>ФКУ «Росдоринформсвязь» (далее — Заказчик) при проведении электронного</w:t>
        <w:br/>
        <w:t>аукциона на право заключения государственного контракта на поставку</w:t>
        <w:br/>
        <w:t>автоматизированных рабочих мест для нужд ФКУ «Росдоринформсвязь» (Закупка</w:t>
        <w:br/>
        <w:t>№0373100044925000014) (далее – аукцион),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2025-40765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письмом Московского УФАС России.</w:t>
        <w:br/>
        <w:t>Заявитель обжалует действия Заказчика, выразившиеся в утверждении</w:t>
        <w:br/>
        <w:t>положения извещения в нарушение законодательства о контрактной системе.</w:t>
        <w:br/>
        <w:t>1.В составе жалобы Заявитель указывает, что описание объекта закупки</w:t>
        <w:br/>
        <w:t>сформировано Заказчиком в нарушение положений Закона о контрактной системе,</w:t>
        <w:br/>
        <w:t>так как при описании закупаемого оборудования «Автоматизированное рабочее</w:t>
        <w:br/>
        <w:t>место» Заказчиком неправомерно не применены позиции каталога товаров, работ,</w:t>
        <w:br/>
        <w:t>услуг для обеспечения государственных и муниципальных нужд (далее — КТРУ),</w:t>
        <w:br/>
        <w:t>соответствующие включенным в такое оборудование товарам.</w:t>
        <w:br/>
        <w:t>В частности, Заявитель указывает на следующие позиции КТРУ ,</w:t>
        <w:br/>
        <w:t>соответствующие товарам, включенным в состав закупаемого оборудования</w:t>
        <w:br/>
        <w:t>«Автоматизированное рабочее место»:</w:t>
        <w:br/>
        <w:t>-позиция КТРУ 26.20.15.000-00000001 «Системный блок»;</w:t>
        <w:br/>
        <w:t>-позиция КТРУ 26.20.17.110-00000001 «Монитор, подключаемый к</w:t>
        <w:br/>
        <w:t>компьютеру»;</w:t>
        <w:br/>
        <w:t>-позиция КТРУ 26.20.16.110-00000002 «Клавиатура»;</w:t>
        <w:br/>
        <w:t>-позиция КТРУ 26.20.16.170-00000002 «Мышь компьютерная».</w:t>
      </w:r>
    </w:p>
    <w:p>
      <w:r>
        <w:t>Также Заявитель также указывает, что неприменение Заказчиком</w:t>
        <w:br/>
        <w:t>вышеуказанных позиций КТРУ повлекло за собой неправомерное установление</w:t>
        <w:br/>
        <w:t>Заказчиком дополнительных требований к характеристикам закупаемого</w:t>
        <w:br/>
        <w:t>оборудования, не предусмотренных позициями КТРУ , так как в составе извещения в</w:t>
        <w:br/>
        <w:t>отношении закупаемого оборудования установлены ограничения, предусмотренные</w:t>
        <w:br/>
        <w:t>абз.3 п.1 Постановления Правительства РФ от 23.12.2024 №1875 «О мерах по</w:t>
        <w:br/>
        <w:t>предоставлению национального режима при осуществлении закупок товаров, работ,</w:t>
        <w:br/>
        <w:t>услуг для обеспечения государственных и муниципальных нужд, закупок товаров,</w:t>
        <w:br/>
        <w:t>работ, услуг отдельными видами юридических лиц» (далее — Постановление</w:t>
        <w:br/>
        <w:t>№1875), при этом закупаемые товары соответствуют пп.199,200, 201 Приложения</w:t>
        <w:br/>
        <w:t>№2 к Постановлению №1875, в связи с чем установление дополнительных</w:t>
        <w:br/>
        <w:t>требований к характеристикам оборудования является неправомерным и</w:t>
        <w:br/>
        <w:t>ограничивает количество участников закупки.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2025-40765</w:t>
        <w:br/>
        <w:t>3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а)сопровождение такого указания словами «или эквивалент»;</w:t>
        <w:br/>
        <w:t>б)несовместимость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в)осуществление закупки запасных частей и расходных материалов к</w:t>
        <w:br/>
        <w:t>машинам 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</w:r>
    </w:p>
    <w:p>
      <w:r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определено, что, согласно извещению об</w:t>
        <w:br/>
        <w:t>осуществлении закупки, Заказчиком закупается оборудование «Автоматизированное</w:t>
        <w:br/>
        <w:t>рабочее место», при этом в п.7.5 Приложения №1 в составе извещения при</w:t>
        <w:br/>
        <w:t>описании требований к оборудованию Заказчиком обозначены в том числе</w:t>
        <w:br/>
        <w:t>следующие требования: «Товар должен быть поставлен в следующем комплекте:</w:t>
        <w:br/>
        <w:t>Системный блок; Монитор; Клавиатура;Манипулятор типа «мышь» 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2025-40765</w:t>
        <w:br/>
        <w:t>4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</w:r>
    </w:p>
    <w:p>
      <w:r>
        <w:t>оказываемой российским лицом.</w:t>
        <w:br/>
        <w:t>Согласно пп.«б» п.1 ч.2 ст.14 Закона о контрактной системе Правительство</w:t>
        <w:br/>
        <w:t>Российской Федерации вправе с учетом положений ч.3 ст.14 Закона о контрактной</w:t>
        <w:br/>
        <w:t>системе принимать меры устанавливающие ограничение закупок товаров (в том</w:t>
        <w:br/>
        <w:t>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лицами.</w:t>
        <w:br/>
        <w:t>Абз.3 п.1 Постановления №1875 установлено ограничение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по перечню согласно</w:t>
        <w:br/>
        <w:t>Приложению №2 к Постановлению №1875.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лицами, о преимуществе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лицами, в случае, если такие запрет, ограничение, преимущество установлены в</w:t>
        <w:br/>
        <w:t>соответствии с п.1 ч.2 ст.14 Закона о контрактной системе в отношении товара (в</w:t>
        <w:br/>
        <w:t>том числе поставляемого при выполнении закупаемой работы, оказании закупаемой</w:t>
        <w:br/>
        <w:t>услуги), работы, услуги, являющихся 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закупаемого оборудования «Автоматизированное рабочее</w:t>
        <w:br/>
        <w:t>место» Заказчиком установлены ограничения, предусмотренные абз.3 п.1</w:t>
        <w:br/>
        <w:t>Постановления №1875.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2025-40765</w:t>
        <w:br/>
        <w:t>5</w:t>
      </w:r>
    </w:p>
    <w:p>
      <w:r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Постановлением Правительства Российской Федерации от 08.02.2017 № 145</w:t>
        <w:br/>
        <w:t>«Об утверждении Правил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и Правил использования каталога товаров,</w:t>
        <w:br/>
        <w:t>работ, услуг для обеспечения государственных и муниципальных нужд»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</w:r>
    </w:p>
    <w:p>
      <w:r>
        <w:t>Согласно п.10 Правил формирования КТРУ в позицию каталога включается</w:t>
        <w:br/>
        <w:t>следующая информация:</w:t>
        <w:br/>
        <w:t>а) код позиции каталога, формируемый в соответствии с п.12 Правил</w:t>
        <w:br/>
        <w:t>формирования КТРУ;</w:t>
        <w:br/>
        <w:t>б) наименование товара, работы, услуги (для целей настоящих Правил под</w:t>
        <w:br/>
        <w:t>наименованием товара, работы, услуги понимается включаемое в позицию каталога</w:t>
        <w:br/>
        <w:t>2025-40765</w:t>
        <w:br/>
        <w:t>6</w:t>
        <w:br/>
        <w:t>наименование соответствующего товара, работы, услуги, которое не является</w:t>
        <w:br/>
        <w:t>торговым наименованием, не содержит указание на конкретного производителя и</w:t>
        <w:br/>
        <w:t>(или) место происхождения товара);</w:t>
        <w:br/>
        <w:t>в) единицы измерения количества товара, объема выполняемой работы,</w:t>
        <w:br/>
        <w:t>оказываемой услуги согласно Общероссийскому классификатору единиц измерения</w:t>
        <w:br/>
        <w:t>ОК 015-94 (ОКЕИ) (при наличии);</w:t>
        <w:br/>
        <w:t>г) информация, содержащая описание товара, работы, услуги, если такое</w:t>
        <w:br/>
        <w:t>описание сформировано в соответствии с п.13 Правил формирования КТРУ;</w:t>
        <w:br/>
        <w:t>д) справочная информация:</w:t>
        <w:br/>
        <w:t>-коды, соответствующие товару, работе, услуге согласно российским и</w:t>
        <w:br/>
        <w:t>международным системам классификации, каталогизации (при наличии);</w:t>
        <w:br/>
        <w:t>-информация о типовых условиях контрактов, подлежащих применению</w:t>
        <w:br/>
        <w:t>при закупке товара, работы, услуги (при наличии);</w:t>
        <w:br/>
        <w:t>е) дата включения в каталог позиции;</w:t>
        <w:br/>
        <w:t>ж) дата (даты) начала обязательного применения информации, включенной в</w:t>
        <w:br/>
        <w:t>позицию каталога;</w:t>
        <w:br/>
        <w:t>з) дата окончания применения позиции каталога (при необходимости);</w:t>
        <w:br/>
        <w:t>и) дополнительная информация в соответствии с п.19 Правил формирования</w:t>
        <w:br/>
        <w:t>КТРУ 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ст.33 Закона</w:t>
        <w:br/>
        <w:t>о контрактной системе, которые не предусмотрены в позиции каталога, за</w:t>
        <w:br/>
        <w:t>исключением случаев:</w:t>
        <w:br/>
        <w:t>а) если при осуществлении закупки товара (в том числе поставляемого при</w:t>
        <w:br/>
        <w:t>выполнении закупаемых работ, оказании закупаемых услуг), указанного в позициях</w:t>
        <w:br/>
        <w:t>25, 26 и 32 приложения №1 к Постановлению №1875, позициях 191 - 361</w:t>
        <w:br/>
        <w:t>приложения №2 к Постановлению №1875, применяются предусмотренные пунктом</w:t>
        <w:br/>
        <w:t>1 Постановления №1875 запрет, ограничение соответственно;</w:t>
      </w:r>
    </w:p>
    <w:p>
      <w:r>
        <w:t>б) если иное не предусмотрено особенностями описания отдельных видов</w:t>
        <w:br/>
        <w:t>объектов закупок, устанавливаемыми Правительством Российской Федерации в</w:t>
        <w:br/>
        <w:t>соответствии с ч.5 ст.33 Закона о контрактной системе.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</w:t>
        <w:br/>
        <w:t>проведении предусмотренных Федеральным законом электронных процедур,</w:t>
        <w:br/>
        <w:t>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2025-40765</w:t>
        <w:br/>
        <w:t>7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В силу п.8 Правил использования КТРУ при включении в состав одного лота</w:t>
        <w:br/>
        <w:t>(одного товара, работы, услуги) нескольких товаров, работ, услуг, на которые в</w:t>
        <w:br/>
        <w:t>каталоге имеются подлежащие применению позиции каталога и на которые в</w:t>
        <w:br/>
        <w:t>каталоге отсутствуют соответствующие позиции, заказчик руководствуется</w:t>
        <w:br/>
        <w:t>требованиями Правил использования КТРУ в отношении каждого такого товара,</w:t>
        <w:br/>
        <w:t>работы услуги, на которые в каталоге имеется подлежащая применению позиция.</w:t>
        <w:br/>
        <w:t>Комиссией Управления установлено, что для описании товаров, входящих в</w:t>
        <w:br/>
        <w:t>состав закупаемого Заказчиком оборудования «Автоматизированное рабочее</w:t>
        <w:br/>
        <w:t>место», предусмотрены в том числе следующие позиции КТРУ:</w:t>
        <w:br/>
        <w:t>-позиция КТРУ 26.20.15.000-00000001 «Системный блок»,</w:t>
        <w:br/>
        <w:t>соответствующая коду по общероссийскому классификатору продукции по видам</w:t>
        <w:br/>
        <w:t>экономической деятельности (далее - ОКПД2) 26.20.15.120 «Системные блоки»;</w:t>
        <w:br/>
        <w:t>-позиция КТРУ 26.20.17.110-00000001 «Монитор, подключаемый к</w:t>
        <w:br/>
        <w:t>компьютеру», соответствующая коду ОКПД2 26.20.17.110 «Мониторы,</w:t>
        <w:br/>
        <w:t>подключаемые к компьютеру»;</w:t>
        <w:br/>
        <w:t>-позиция КТРУ 26.20.16.110-00000002 «Клавиатура», соответствующая</w:t>
        <w:br/>
        <w:t>коду ОКПД2 26.20.16.110 «Клавиатуры»;</w:t>
        <w:br/>
        <w:t>-позиция КТРУ 26.20.16.170-00000002 «Мышь компьютерная»,</w:t>
        <w:br/>
        <w:t>соответствующая коду ОКПД2 26.20.16.170 «Манипуляторы».</w:t>
        <w:br/>
        <w:t>При этом указанные позиции КТРУ содержат в своем составе описание</w:t>
        <w:br/>
        <w:t>товара, сформированное в соответствии с п.13 Правил формирования КТРУ , а коды</w:t>
        <w:br/>
        <w:t>ОКПД2 товаров включены в Приложение №2 к Постановлению №1875 под</w:t>
        <w:br/>
        <w:t>следующими позициями:</w:t>
      </w:r>
    </w:p>
    <w:p>
      <w:r>
        <w:t>-коды ОКПД2 26.20.16.170 «Манипуляторы», 26.20.16.110 «Клавиатуры»</w:t>
        <w:br/>
        <w:t>соответствуют п.200 Приложения №2 к Постановлению №1875;</w:t>
        <w:br/>
        <w:t>-код ОКПД2 26.20.17.110 «Мониторы, подключаемые к компьютеру»</w:t>
        <w:br/>
        <w:t>соответствует п.201 Приложения №2 к Постановлению №1875;</w:t>
        <w:br/>
        <w:t>-код ОКПД2 26.20.15.120 «Системные блоки» соответствует п.199</w:t>
        <w:br/>
        <w:t>Приложения №2 к Постановлению №1875.</w:t>
        <w:br/>
        <w:t>Вместе с этим, как установлено Комиссией Управления, при описании</w:t>
        <w:br/>
        <w:t>оборудования «Автоматизированное рабочее место», а также включенных в такое</w:t>
        <w:br/>
        <w:t>оборудование товаров, позиции КТРУ не применялись Заказчиком.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Заказчиком закупаются не отдельные товарные позиции, для которых необходимо</w:t>
        <w:br/>
        <w:t>установить соответствующие позиции КТРУ , а «Автоматизированное рабочее</w:t>
        <w:br/>
        <w:t>место», однако в КТРУ отсутствует позиция, соответствующая оборудованию</w:t>
        <w:br/>
        <w:t>2025-40765</w:t>
        <w:br/>
        <w:t>8</w:t>
        <w:br/>
        <w:t>«Автоматизированное рабочее место», таким образом позиции КТРУ не</w:t>
        <w:br/>
        <w:t>применялись Заказчиком при описании закупаемого оборудования.</w:t>
        <w:br/>
        <w:t>При этом на заседании Комиссии Управления представителем Заказчика не</w:t>
        <w:br/>
        <w:t>представлено каких-либо сведений, указывающих, что позиции КТРУ , сведения о</w:t>
        <w:br/>
        <w:t>которых содержатся в составе жалобы, не соответствуют виду товаров, включенных</w:t>
        <w:br/>
        <w:t>в состав оборудования «Автоматизированное рабочее место».</w:t>
        <w:br/>
        <w:t>Комиссия Управления отмечает, что отсутствие в позиции КТРУ необходимых</w:t>
        <w:br/>
        <w:t>Заказчику требований к характеристикам изделия, при соответствии</w:t>
        <w:br/>
        <w:t>функционального назначения товара, указанного в такой позиции КТРУ , не</w:t>
        <w:br/>
        <w:t>свидетельствует о несоответствии такой позиции КТРУ закупаемому изделию.</w:t>
        <w:br/>
        <w:t>Вместе с этим, согласно п.4, 8 Правил использования КТРУ , Заказчики</w:t>
        <w:br/>
        <w:t>обязаны использовать сведения указанные в позиции КТРУ при формировании</w:t>
        <w:br/>
        <w:t>описания объекта закупки, при условии, что в КТРУ имеется позиция,</w:t>
        <w:br/>
        <w:t>соответствующая закупаемому товару, в том числе при включении в состав одного</w:t>
        <w:br/>
        <w:t>товара нескольких товаров, являющихся самостоятельным оборудованием.</w:t>
        <w:br/>
        <w:t>Аналогичная правовая позиция, в части необходимости формирования</w:t>
        <w:br/>
        <w:t>описания объекта закупки в соответствии с п.4 Правил использования КТРУ ,</w:t>
      </w:r>
    </w:p>
    <w:p>
      <w:r>
        <w:t>изложена в постановлении Девятого арбитражного апелляционного суда по делу</w:t>
        <w:br/>
        <w:t>№ А40-230806/23 от 29.02.2024, а также в постановлении Арбитражного суда</w:t>
        <w:br/>
        <w:t>Московского округа №А40-298128/2023 от 03.02.2025.</w:t>
        <w:br/>
        <w:t>Правовая позиция, в части необходимости формирования описания объекта</w:t>
        <w:br/>
        <w:t>закупки в соответствии с п.8 Правил использования КТРУ при закупки АРМ и</w:t>
        <w:br/>
        <w:t>ПЭВМ, содержится в письме ФАС России №ГР/24526-ПР/25 от 18.03.2025 «О</w:t>
        <w:br/>
        <w:t>рассмотрении обращения Письмо Аппарата Правительства Российской Федерации</w:t>
        <w:br/>
        <w:t>от 25.02.2025 № 16068-П13».</w:t>
        <w:br/>
        <w:t>На основании вышеизложенного Комиссия Управления приходит к выводу,</w:t>
        <w:br/>
        <w:t>что при описании объекта закупки Заказчиком неправомерно не применены</w:t>
        <w:br/>
        <w:t>позиции КТРУ , соответствующие закупаемым товарам, что повлекло за собой</w:t>
        <w:br/>
        <w:t>неправомерное установление Заказчиком дополнительных характеристик,</w:t>
        <w:br/>
        <w:t>отсутствующих в позициях КТРУ .</w:t>
        <w:br/>
        <w:t>Исходя из вышеизложенного, Комиссия Управления приходит к выводу о</w:t>
        <w:br/>
        <w:t>нарушении Заказчиком ч.6 ст.23, п.1 ч.1 ст.33, п.5 ч.1 ст.42 Закона о контрактной</w:t>
        <w:br/>
        <w:t>системе, что также свидетельствует о наличии в действиях Заказчика признаков</w:t>
        <w:br/>
        <w:t>состава административного правонарушения, ответственность за которое</w:t>
        <w:br/>
        <w:t>предусмотрена ч.5 ст.7.30.1 Кодекса Российской Федерации об административных</w:t>
        <w:br/>
        <w:t>правонарушениях.</w:t>
        <w:br/>
        <w:t>2.Также в составе жалобы Заявитель указывает, что Заказчиком</w:t>
        <w:br/>
        <w:t>некорректно сформировано описание объекта закупки с использованием единой</w:t>
        <w:br/>
        <w:t>информационной системы при формировании извещения, поскольку наличие</w:t>
        <w:br/>
        <w:t>разночтений между структурированной формой в составе извещения об</w:t>
        <w:br/>
        <w:t>осуществлении закупки и Техническим заданием не позволяет Заявителю</w:t>
        <w:br/>
        <w:t>требования к характеристикам необходимого к поставке оборудования</w:t>
        <w:br/>
        <w:t>«Автоматизированное рабочее место», а также корректно сформировать свое</w:t>
        <w:br/>
        <w:t>2025-40765</w:t>
        <w:br/>
        <w:t>9</w:t>
        <w:br/>
        <w:t>предложение на участие в закупке в структурированной заявке, что является</w:t>
        <w:br/>
        <w:t>неправомерным и не позволяет должным образом заполнить заявку на участие в</w:t>
        <w:br/>
        <w:t>аукционе.</w:t>
        <w:br/>
        <w:t>Комиссией Управления определено, что, согласно извещениям об</w:t>
        <w:br/>
        <w:t>осуществлении закупки, Заказчиком установлено в том числе следующее</w:t>
        <w:br/>
        <w:t>требование к закупаемому оборудованию «Автоматизированное рабочее место»:</w:t>
        <w:br/>
        <w:t>Наименование</w:t>
        <w:br/>
        <w:t>товара, работы,</w:t>
        <w:br/>
        <w:t>услугиКод</w:t>
        <w:br/>
        <w:t>позицииТип</w:t>
        <w:br/>
        <w:t>позици</w:t>
        <w:br/>
        <w:t>иЕдиница</w:t>
        <w:br/>
        <w:t>измеренияЦена за</w:t>
        <w:br/>
        <w:t>единицуКоличество</w:t>
        <w:br/>
        <w:t>(объем</w:t>
        <w:br/>
        <w:t>работы,</w:t>
        <w:br/>
        <w:t>услуги)Стоимость</w:t>
        <w:br/>
        <w:t>позиции</w:t>
        <w:br/>
        <w:t>Автоматизированное</w:t>
        <w:br/>
        <w:t>рабочее место</w:t>
        <w:br/>
        <w:t>Идентификатор:</w:t>
        <w:br/>
        <w:t>18953627126.20.15.15</w:t>
        <w:br/>
        <w:t>0ТоварШтука169433.3361016599.98</w:t>
        <w:br/>
        <w:t>Одновременно с этим Комиссией Управления установлено, что в Приложении</w:t>
        <w:br/>
        <w:t>№1 представлено следующее описание объекта закупки:</w:t>
      </w:r>
    </w:p>
    <w:p>
      <w:r>
        <w:t>№ п/пПоказатели и значения показателей, позволяющие определить</w:t>
        <w:br/>
        <w:t>соответствие закупаемого товара установленным Заказчиком требованиям</w:t>
        <w:br/>
        <w:t>Функциональные, технические,</w:t>
        <w:br/>
        <w:t>качественные, эксплуатационные и</w:t>
        <w:br/>
        <w:t>другие характеристики объекта</w:t>
        <w:br/>
        <w:t>закупки Значение</w:t>
        <w:br/>
        <w:t>показателей/</w:t>
        <w:br/>
        <w:t>Кол-воЕд. изм.</w:t>
        <w:br/>
        <w:t>Системный блок в составе: 6 шт.</w:t>
        <w:br/>
        <w:t>1. Корпус</w:t>
        <w:br/>
        <w:t>1.1 Цвет черный -</w:t>
        <w:br/>
        <w:t>1.2 Типоразмер корпуса MiniTower -</w:t>
        <w:br/>
        <w:t>1.3Форм-фактор совместимых плат Micro-ATX -</w:t>
        <w:br/>
        <w:t>1.4Форм-фактор совместимых блоков</w:t>
        <w:br/>
        <w:t>питанияATX -</w:t>
        <w:br/>
        <w:t>1.5Разъемы и интерфейсы лицевой панели USB Type-A x3 -</w:t>
        <w:br/>
        <w:t>2. Процессор</w:t>
        <w:br/>
        <w:t>2.1 Сокет AM4 -</w:t>
        <w:br/>
        <w:t>2.2Максимальное число потоков ≥16 шт.</w:t>
        <w:br/>
        <w:t>2.3 Техпроцесс TSMC 7nm FinFET Нм</w:t>
        <w:br/>
        <w:t>2.4 Объем кэша L3 ≥16 Мб</w:t>
        <w:br/>
        <w:t>2.5 Базовая частота ≥ 3800 МГц</w:t>
        <w:br/>
        <w:t>2.6Максимальная частота в турбо режиме ≤ 5000 МГц</w:t>
        <w:br/>
        <w:t>2.7Максимально поддерживаемый объем</w:t>
        <w:br/>
        <w:t>памяти128 ГБ</w:t>
        <w:br/>
        <w:t>2.8Количество каналов ≥2 шт.</w:t>
        <w:br/>
        <w:t>2.9Поддержка режима ECC нет -</w:t>
        <w:br/>
        <w:t>2.10Максимальная температура процессора ≤95 °C</w:t>
        <w:br/>
        <w:t>2.11Интегрированное графическое ядро да -</w:t>
        <w:br/>
        <w:t>2.12Модель графического процессора ≥ RX Vega 8 -</w:t>
        <w:br/>
        <w:t>2.13Максимальная частота графического ядра ≥2000 МГц</w:t>
        <w:br/>
        <w:t>2.14 Тепловыделение ≥65 Вт</w:t>
        <w:br/>
        <w:t>3. Кулер для процессора</w:t>
        <w:br/>
        <w:t>2025-40765</w:t>
        <w:br/>
        <w:t>10</w:t>
        <w:br/>
        <w:t>3.1 Тип конструкции башенный -</w:t>
        <w:br/>
        <w:t>4. Блок питания</w:t>
        <w:br/>
        <w:t>4.1 Мощность ≥ 450 Вт</w:t>
        <w:br/>
        <w:t>5. Накопитель Тип1 ( Samsung 870 evo или аналог)</w:t>
        <w:br/>
        <w:t>5.1Объем накопителя SSD ≥1000 Гб</w:t>
        <w:br/>
        <w:t>5.2Скорость передачи данных накопителя</w:t>
        <w:br/>
        <w:t>SSD при чтении≥560 Мб/с</w:t>
        <w:br/>
        <w:t>5.3 Форм-фактор 2,5 дюйм</w:t>
        <w:br/>
        <w:t>5.4.Интерфейс обмена данными SATA -</w:t>
        <w:br/>
        <w:t>5.5 Структура памяти 3D NAND -</w:t>
        <w:br/>
        <w:t>5.6Объем DRAM буфера ≥1024 Гб</w:t>
        <w:br/>
        <w:t>5.7 Скорость записи ≤ 530 Мб/с</w:t>
        <w:br/>
        <w:t>6. Накопитель Тип2 ( Samsung 990 PRO или аналог )</w:t>
        <w:br/>
        <w:t>6.1 Объем накопителя ≥2000 ГБ</w:t>
        <w:br/>
        <w:t>6.2Объем DRAM буфера ≥2048 МБ</w:t>
        <w:br/>
        <w:t>6.3Максимальная скорость</w:t>
        <w:br/>
        <w:t>последовательного чтения≥7450Мбайт/сек</w:t>
        <w:br/>
        <w:t>6.4Максимальная скорость последовательной</w:t>
        <w:br/>
        <w:t>записи≥6900 Мбайт/сек</w:t>
        <w:br/>
        <w:t>6.5Максимальный ресурс записи (TBW) ≥1200 ТБ</w:t>
        <w:br/>
        <w:t>6.7 Форм-фактор M.2 -</w:t>
        <w:br/>
        <w:t>7. Оперативная память (Patriot Viper Steel или аналог)</w:t>
        <w:br/>
        <w:t>7.1 Тип памяти DDR4 -</w:t>
        <w:br/>
        <w:t>7.2Объем одного модуля оперативной</w:t>
        <w:br/>
        <w:t>памяти≥16 Гб</w:t>
        <w:br/>
        <w:t>7.3Суммарный объем оперативной памяти ≥32 Гб</w:t>
        <w:br/>
        <w:t>7.4Количество модулей в комплекте ≥2 шт.</w:t>
        <w:br/>
        <w:t>7.5 Тактовая частота ≥ 3200 МГц</w:t>
        <w:br/>
        <w:t>7.6Форм-фактор памяти DIMM</w:t>
      </w:r>
    </w:p>
    <w:p>
      <w:r>
        <w:t>8. Материнская плата</w:t>
        <w:br/>
        <w:t>8.1 Форм-фактор MicroATX -</w:t>
        <w:br/>
        <w:t>8.2 Сокет процессора AM4 -</w:t>
        <w:br/>
        <w:t>8.3 Чипсет ≥ A520 -</w:t>
        <w:br/>
        <w:t>8.4 UEFI BIOS наличие -</w:t>
        <w:br/>
        <w:t>8.5Форм фактор поддерживаемой памяти DIMM -</w:t>
        <w:br/>
        <w:t>8.6Тип поддерживаемой памяти DDR4 -</w:t>
        <w:br/>
        <w:t>8.7Количество слотов памяти ≥ 2 шт.</w:t>
        <w:br/>
        <w:t>8.8Количество каналов памяти ≥2 шт.</w:t>
        <w:br/>
        <w:t>8.9Максимальный объем памяти ≥ 64 Гб</w:t>
        <w:br/>
        <w:t>8.10Внутренние коннекторы USB на плате 10 x USB -</w:t>
        <w:br/>
        <w:t>8.11Совместимые ядра процессоров AMDGranite Ridge, Phoenix,</w:t>
        <w:br/>
        <w:t>Raphael-</w:t>
        <w:br/>
        <w:t>Монитор в составе: 6 шт.</w:t>
        <w:br/>
        <w:t>9. Монитор</w:t>
        <w:br/>
        <w:t>9.1Технология изготовления матрицы</w:t>
        <w:br/>
        <w:t>дисплеяIPS -</w:t>
        <w:br/>
        <w:t>9.2 Размер диагонали ≥ 27 -</w:t>
        <w:br/>
        <w:t>9.3 Контрастность ≥1000:1 -</w:t>
        <w:br/>
        <w:t>9.4 Разрешение экрана 2560 x 1440 -</w:t>
        <w:br/>
        <w:t>2025-40765</w:t>
        <w:br/>
        <w:t>11</w:t>
        <w:br/>
        <w:t>9.5Частота обновления экрана ≥ 70 Гц</w:t>
        <w:br/>
        <w:t>9.6 Время отклика &lt;2 мс</w:t>
        <w:br/>
        <w:t>Манипулятор типа «мышь» в составе: 6 шт.</w:t>
        <w:br/>
        <w:t>10. Мышь</w:t>
        <w:br/>
        <w:t>10.1Максимальное разрешение датчика ≥8000 dpi</w:t>
        <w:br/>
        <w:t>10.2 Частота опроса ≥1000 Гц</w:t>
        <w:br/>
        <w:t>10.3Количество программируемых кнопок &lt;5 Шт.</w:t>
        <w:br/>
        <w:t>10.4 Тип Проводная -</w:t>
        <w:br/>
        <w:t>Клавиатура в составе: 6 шт.</w:t>
        <w:br/>
        <w:t>11. Клавиатура</w:t>
        <w:br/>
        <w:t>11.1Общее количество клавиш ≥104 шт.</w:t>
        <w:br/>
        <w:t>11.2 Тип клавиатуры мембранная -</w:t>
        <w:br/>
        <w:t>11.4Формат клавиатуры полноразмерная -</w:t>
        <w:br/>
        <w:t>11.5 Тип Проводная -</w:t>
        <w:br/>
        <w:t>Таким образом, Комиссия Управления приходит к выводу, что характеристики,</w:t>
        <w:br/>
        <w:t>не указанные Заказчиком в структурированной форме извещения не подлежат</w:t>
        <w:br/>
        <w:t>представлению в составе заявки на участие в закупке посредством заполнения</w:t>
        <w:br/>
        <w:t>структурированной формы, в то время как в пп. «а» п.2 Приложения «Требования к</w:t>
        <w:br/>
        <w:t>содержанию и составу заявки на участие в электронном аукционе» извещения</w:t>
        <w:br/>
        <w:t>установлено следующее требование к составу заявки: «Характеристики</w:t>
        <w:br/>
        <w:t>предлагаемого участником закупки товара, соответствующие показателям,</w:t>
        <w:br/>
        <w:t>установленным в описании объекта закупки в соответствии с частью 2 статьи 33</w:t>
        <w:br/>
        <w:t>Закона о контрактной системе».</w:t>
        <w:br/>
        <w:t>На заседании Комиссии Управления представитель Заказчика пояснил, что</w:t>
        <w:br/>
        <w:t>требования к характеристикам закупаемого оборудования установлены Заказчиком</w:t>
        <w:br/>
        <w:t>в отдельном электронном файле в виде прикрепленного «Технического задания»,</w:t>
        <w:br/>
        <w:t>сформированного в соответствии с требованиями положения ст.33 Закона о</w:t>
        <w:br/>
        <w:t>контрактной системе, размещенного в составе извещения.</w:t>
      </w:r>
    </w:p>
    <w:p>
      <w:r>
        <w:t>В свою очередь Комиссия Управления отмечает, что в структурированном</w:t>
        <w:br/>
        <w:t>виде описания объекта закупки Заказчиком неправомерно не установлен весь</w:t>
        <w:br/>
        <w:t>перечень характеристик к закупаемой продукции, что, в свою очередь, препятствует</w:t>
        <w:br/>
        <w:t>формированию и подаче участником структурированной заявки, а также не отвечает</w:t>
        <w:br/>
        <w:t>требованию п.7 Правил использования КТРУ .</w:t>
        <w:br/>
        <w:t>Вместе с тем, как установлено выше Комиссией Управления, описание</w:t>
        <w:br/>
        <w:t>объекта закупки, определенное Заказчиком в извещении об осуществлении закупки,</w:t>
        <w:br/>
        <w:t>не отражает установленные требования к объекту закупки, являющееся</w:t>
        <w:br/>
        <w:t>приложением к извещению о проведении аукциона (файл «Приложение №1 Проект</w:t>
        <w:br/>
        <w:t>ТЗ»).</w:t>
        <w:br/>
        <w:t>При этом Комиссия Управления отмечает, что неисполнение Заказчиком</w:t>
        <w:br/>
        <w:t>требования п.7 Правил использования КТРУ не позволяет участникам закупки</w:t>
        <w:br/>
        <w:t>корректно сформировать свое предложение на участие в закупке в</w:t>
        <w:br/>
        <w:t>структурированной заявке (посредство электронного функционала), а именно:</w:t>
        <w:br/>
        <w:t>2025-40765</w:t>
        <w:br/>
        <w:t>12</w:t>
        <w:br/>
        <w:t>представить значения в отношении требуемых характеристик, поскольку в</w:t>
        <w:br/>
        <w:t>извещении отсутствуют графы, позволяющие представить значение по таким</w:t>
        <w:br/>
        <w:t>характеристикам посредством функционала площадки.</w:t>
        <w:br/>
        <w:t>На основании вышеизложенного, Комиссия Управления приходит к выводу, что</w:t>
        <w:br/>
        <w:t>Заказчиком не исполнено надлежащим образом требование об указании требований</w:t>
        <w:br/>
        <w:t>к товарам с использованием единой информационной системы при формировании</w:t>
        <w:br/>
        <w:t>извещения об осуществлении закупки.</w:t>
        <w:br/>
        <w:t>Таким образом, Заказчику, во исполнение требований п.5 ч.1 ст.42 Закона о</w:t>
        <w:br/>
        <w:t>контрактной системе и Правил пользования КТРУ , надлежало отразить все</w:t>
        <w:br/>
        <w:t>значимые характеристики закупаемых товаров в разделе «Характеристики товара,</w:t>
        <w:br/>
        <w:t>работы, услуги» с указанием в соответствующих графах наименования</w:t>
        <w:br/>
        <w:t>характеристик, значение характеристик, единицы измерения характеристик,</w:t>
        <w:br/>
        <w:t>инструкцию по заполнению характеристик в заявке, что Заказчиком в настоящем</w:t>
        <w:br/>
        <w:t>случае не сделано.</w:t>
        <w:br/>
        <w:t>Иными словами, формирование информации и документов с использованием</w:t>
        <w:br/>
        <w:t>ЕИС осуществляется путем заполнения экранных форм веб-интерфейса ЕИС. При</w:t>
        <w:br/>
        <w:t>формировании извещения о проведении закупки в ЕИС Заказчику надлежало</w:t>
        <w:br/>
        <w:t>указать характеристики закупаемой продукции со значениями этих характеристик в</w:t>
        <w:br/>
        <w:t>соответствующей графе для обеспечения возможности участникам закупки</w:t>
        <w:br/>
        <w:t>представить такие сведения в структурированной форме.</w:t>
        <w:br/>
        <w:t>Исходя из вышеизложенного Комиссия Управления приходит к выводу, что</w:t>
      </w:r>
    </w:p>
    <w:p>
      <w:r>
        <w:t>положения извещения сформированы Заказчиком таким образом, что не позволяют</w:t>
        <w:br/>
        <w:t>участникам закупки представить сведения о поставляемых товарах надлежащим</w:t>
        <w:br/>
        <w:t>образом, посредством заполнения сведений, указанных в структурированной формы</w:t>
        <w:br/>
        <w:t>извещения, размещение которой обязательно в соответствии с ч.1 ст.42 Закона о</w:t>
        <w:br/>
        <w:t>контрактной системе.</w:t>
        <w:br/>
        <w:t>Таким образом, на основании имеющихся документов и сведений, Комиссия</w:t>
        <w:br/>
        <w:t>Управления приходит к выводу о нарушении Заказчиком положений п.1 ч.1 ст.33,</w:t>
        <w:br/>
        <w:t>п.5 ч.1 ст.42 Закона о контрактной системе при формировании описания объекта</w:t>
        <w:br/>
        <w:t>закупки, что также свидетельствует о наличии в действиях Заказчика признаков</w:t>
        <w:br/>
        <w:t>состава административного правонарушения, ответственность за которое</w:t>
        <w:br/>
        <w:t>предусмотрена ч. 5 ст. 7.30.1 Кодекса Российской Федерации об административных</w:t>
        <w:br/>
        <w:t>правонарушениях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2025-40765</w:t>
        <w:br/>
        <w:t>13</w:t>
        <w:br/>
        <w:t>Р Е Ш И Л А:</w:t>
        <w:br/>
        <w:t>1.Признать жалобу ООО «Моноблок СПБ» на действия ФКУ</w:t>
        <w:br/>
        <w:t>«Росдоринформсвязь» обоснованной.</w:t>
        <w:br/>
        <w:t>2.Признать в действиях Заказчика нарушение положений ч.6 ст.23, п.5 ч.1</w:t>
        <w:br/>
        <w:t>ст.42, п.1 ч.1 ст.33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 г.</w:t>
        <w:br/>
        <w:t>Москвы в течение 3 (трех) месяцев с даты его принятия в порядке, установленном</w:t>
        <w:br/>
        <w:t>гл. 24 АПК РФ.</w:t>
        <w:br/>
        <w:t>Председательствующий А.А. Кутейников</w:t>
        <w:br/>
        <w:t>Члены комиссии:</w:t>
        <w:br/>
        <w:t>А.А. Матюшенко</w:t>
        <w:br/>
        <w:t>О.А. Челнова</w:t>
        <w:br/>
        <w:t>Исп.Челнова О.А.</w:t>
        <w:br/>
        <w:t>тел.(495) 784-75-05, вн. 077-216</w:t>
        <w:br/>
        <w:t>2025-40765</w:t>
      </w:r>
    </w:p>
    <w:p>
      <w:pPr>
        <w:pStyle w:val="Heading1"/>
      </w:pPr>
      <w:r>
        <w:t>Предписание</w:t>
      </w:r>
    </w:p>
    <w:p>
      <w:r>
        <w:t>ФКУ «Росдоринформсвязь»</w:t>
        <w:br/>
        <w:t>rdis@rdis.fad.ru</w:t>
        <w:br/>
        <w:t>ООО «Моноблок СПБ»</w:t>
        <w:br/>
        <w:t>monoblockspb@mail.ru</w:t>
        <w:br/>
        <w:t>РТС-тендер</w:t>
        <w:br/>
        <w:t>info@rts-tender.ru</w:t>
        <w:br/>
        <w:t>ПРЕДПИСАНИЕ</w:t>
        <w:br/>
        <w:t>по делу №077/06/106-10938/2025 об устранении нарушений</w:t>
        <w:br/>
        <w:t>законодательства о контрактной системе</w:t>
        <w:br/>
        <w:t>04.09.2025 г. Москва</w:t>
        <w:br/>
        <w:t>Комиссия по контролю в сфере закупки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Специалиста-эксперта отдела обжалования государственных закупок</w:t>
        <w:br/>
        <w:t>О.А. Челновой,</w:t>
        <w:br/>
        <w:t>Главного специалиста-эксперта отдела обжалования государственных закупок</w:t>
        <w:br/>
        <w:t>А.А. Матюшенко,</w:t>
        <w:br/>
        <w:t>на основании решения Комиссии от 04.09.2025 п о делу №077/06/106-</w:t>
        <w:br/>
        <w:t>10938/2025, по итогам рассмотрения жалобы ООО «Моноблок СПБ» (далее —</w:t>
        <w:br/>
        <w:t>Заявитель) на действия ФКУ «Росдоринформсвязь»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автоматизированных рабочих мест для нужд ФКУ</w:t>
        <w:br/>
        <w:t>«Росдоринформсвязь» (Закупка №0373100044925000014) (далее – электронный</w:t>
        <w:br/>
        <w:t>аукцион, аукцион), в соответствии с Федеральным законом от 05.04.2013 № 44-ФЗ «О</w:t>
        <w:br/>
        <w:t>контрактной системе в сфере закупки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2025-40766</w:t>
        <w:br/>
        <w:t>2</w:t>
        <w:br/>
        <w:t>ПРЕДПИСЫВАЕТ:</w:t>
        <w:br/>
        <w:t>1. Заказчику, комиссии по осуществлению закупки отменить протокол</w:t>
        <w:br/>
        <w:t>подведения итогов определения поставщика (подрядчика, исполнителя).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 отменить протокол подачи ценовых предложений;</w:t>
        <w:br/>
        <w:t>- вернуть участникам закупи ранее поданные заявки на участие в Аукционе;</w:t>
        <w:br/>
        <w:t>- уведомить участников закупки, подавших заявки на участие в Аукционе, в том</w:t>
        <w:br/>
        <w:t>числе Заявителя, об отмене протокола подведения итогов определения поставщика</w:t>
        <w:br/>
        <w:t>(подрядчика, исполнителя), протокола подачи ценовых предложений, о прекращении</w:t>
        <w:br/>
        <w:t>действия заявок, поданных на участие в Аукционе, и о возможности подать новые</w:t>
        <w:br/>
        <w:t>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электронном Аукционе,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об осуществлении закупки в соответствие с</w:t>
        <w:br/>
        <w:t>требованиями Закона о контрактной системе и с учетом решения от 04.09.2025 по</w:t>
      </w:r>
    </w:p>
    <w:p>
      <w:r>
        <w:t>делу №077/06/106-10938/2025 и разместить соответствующее извещение об</w:t>
        <w:br/>
        <w:t>осуществлении закупки в единой информационной системе;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закупки.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 том</w:t>
        <w:br/>
        <w:t>числе Заявителя, о новой дате окончания срока подачи заявок на участие в Аукционе,</w:t>
        <w:br/>
        <w:t>дате подачи ценовых предложений, дате подведения итогов определения поставщика</w:t>
        <w:br/>
        <w:t>(подрядчика, исполнителя), а также о возможности подать новые заявки на участие в</w:t>
        <w:br/>
        <w:t>Аукционе.</w:t>
        <w:br/>
        <w:t>5. Заказчику, комиссии по осуществлению закупки,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04.09.2025 по делу №077/06/106-</w:t>
        <w:br/>
        <w:t>10938/2025.</w:t>
        <w:br/>
        <w:t>6. Заказчику, комиссии по осуществлению закупки в срок до 06.10.2025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2025-40766</w:t>
        <w:br/>
        <w:t>3</w:t>
        <w:br/>
        <w:t>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 членом</w:t>
        <w:br/>
        <w:t>комиссии по осуществлению закупки,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закупки,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</w:r>
    </w:p>
    <w:p>
      <w:r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04.09.2025 по делу №077/06/106-10938/2025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А.А. Матюшенко</w:t>
        <w:br/>
        <w:t>О.А. Челнова</w:t>
        <w:br/>
        <w:t>Исп.Челнова О.А.</w:t>
        <w:br/>
        <w:t>тел.(495) 784-75-05, вн. 077-216</w:t>
        <w:br/>
        <w:t>2025-40766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