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202500132489013550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09.09.2025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0373100117425000079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«Государственный научный центр дерматовенерологии и косметологии»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«Печатное мастерство»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https://zakupki.gov.ru/epz/complaint/card/complaint-information.html?complaintNumber=202500132489013550</w:t>
      </w:r>
    </w:p>
    <w:p/>
    <w:p>
      <w:pPr>
        <w:pStyle w:val="Heading1"/>
      </w:pPr>
      <w:r>
        <w:t>Решение</w:t>
      </w:r>
    </w:p>
    <w:p>
      <w:r>
        <w:t>ФГБУ «ГНЦДК» Минздрава России</w:t>
        <w:br/>
        <w:t>fedorova@cnikvi.ru</w:t>
        <w:br/>
        <w:t>ООО «Печатное Мастерство»</w:t>
        <w:br/>
        <w:t>printmastender@ya.ru</w:t>
        <w:br/>
        <w:t>АО «Сбербанк-АСТ»</w:t>
        <w:br/>
        <w:t>info@sberbank-ast.ru</w:t>
        <w:br/>
        <w:t>РЕШЕНИЕ</w:t>
        <w:br/>
        <w:t>по делу № 077/06/106-1 1247/2025 о нарушении</w:t>
        <w:br/>
        <w:t>законодательства о контрактной системе</w:t>
        <w:br/>
        <w:t>09.09.2025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 ,</w:t>
        <w:br/>
        <w:t>Членов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ФГБУ «ГНЦДК» Минздрава России: А.О. Плотникова (по дов.№18/ГНЦ</w:t>
        <w:br/>
        <w:t>от 10.01.2025),</w:t>
        <w:br/>
        <w:t>ООО «Печатное Мастерство»: С.С. Соколова (по дов.№15.07.25</w:t>
        <w:br/>
        <w:t>от 15.07.2025) (до переноса),</w:t>
        <w:br/>
        <w:t>рассмотрев жалобу ООО «Печатное Мастерство» (далее — Заявитель)</w:t>
        <w:br/>
        <w:t>на действия ФГБУ «ГНЦДК» Минздрава России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оригинальных расходных материалов для оргтехники для нужд</w:t>
        <w:br/>
        <w:t>ФГБУ «ГНЦДК» Минздрава России (Закупка №0373100117425000079) (далее –</w:t>
        <w:br/>
        <w:t>аукцион)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2025-41336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закупке</w:t>
        <w:br/>
        <w:t>оригинальных расходных материалов (картриджей) без возможности поставки</w:t>
        <w:br/>
        <w:t>эквивалентной продукции.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</w:r>
    </w:p>
    <w:p>
      <w:r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2025-41336</w:t>
        <w:br/>
        <w:t>3</w:t>
        <w:br/>
        <w:t>Комиссией Управления установлено, что согласно описанию объектов закупки</w:t>
        <w:br/>
        <w:t>Заказчиком установлены следующие требования к закупаемым расходным</w:t>
        <w:br/>
        <w:t>материалам:</w:t>
        <w:br/>
        <w:t>по п. «Картридж для электрографических печатающих устройств.</w:t>
        <w:br/>
        <w:t>Идентификатор: 190008810. КТРУ 20.59.12.120-00000002»: «Для МФУ HP Color</w:t>
        <w:br/>
        <w:t>LaserJet MFP M480: Да»; «Оригинальный*: Да»;</w:t>
        <w:br/>
        <w:t>по п. «Картридж для электрографических печатающих устройств.</w:t>
        <w:br/>
        <w:t>Идентификатор: 190008811. КТРУ 20.59.12.120-00000002»: «Для МФУ HP Color</w:t>
        <w:br/>
        <w:t>LaserJet MFP M480: Да»; «Оригинальный*: Да»;</w:t>
        <w:br/>
        <w:t>по п. «Картридж для электрографических печатающих устройств.</w:t>
        <w:br/>
        <w:t>Идентификатор: 190008812. КТРУ 20.59.12.120-00000002»: «Для МФУ HP Color</w:t>
        <w:br/>
        <w:t>LaserJet MFP M480: Да»; «Оригинальный*: Да»;</w:t>
        <w:br/>
        <w:t>по п. «Картридж для электрографических печатающих устройств.</w:t>
        <w:br/>
        <w:t>Идентификатор: 190007410. КТРУ 20.59.12.120-00000002»: «Для МФУ HP Color</w:t>
      </w:r>
    </w:p>
    <w:p>
      <w:r>
        <w:t>LaserJet MFP M480: Да»; «Оригинальный*: Да»;</w:t>
        <w:br/>
        <w:t>по п. «Картридж для электрографических печатающих устройств.</w:t>
        <w:br/>
        <w:t>Идентификатор: 190005983. КТРУ 20.59.12.120-00000002»: «Для МФУ Kyocera</w:t>
        <w:br/>
        <w:t>TA4012i: Да»; «Оригинальный*: Да»;</w:t>
        <w:br/>
        <w:t>по п. «Картридж для электрографических печатающих устройств.</w:t>
        <w:br/>
        <w:t>Идентификатор: 190003195. КТРУ 20.59.12.120-00000002»: «Для МФУ Kyocera</w:t>
        <w:br/>
        <w:t>TA3500i: Да»; «Оригинальный*: Да»;</w:t>
        <w:br/>
        <w:t>по п. «Картридж для электрографических печатающих устройств.</w:t>
        <w:br/>
        <w:t>Идентификатор: 190002809. КТРУ 20.59.12.120-00000002»: «Для МФУ HP LaserJet</w:t>
        <w:br/>
        <w:t>M428n: Да»; «Оригинальный*: Да».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рамках обжалуемой закупки Заказчиком закупаются расходные материалы к</w:t>
        <w:br/>
        <w:t>многофункциональным устройствам с товарными знаками «Kyocera», «HP (Hewlett-</w:t>
        <w:br/>
        <w:t>Packard)», при этом выбор оригинальных картриджей выражен потребностью</w:t>
        <w:br/>
        <w:t>Заказчика в целях, в том числе, надлежащего использования уже имеющего</w:t>
        <w:br/>
        <w:t>оборудования, в соответствии с информацией, указанной в технической</w:t>
        <w:br/>
        <w:t>документации к указанным МФУ .</w:t>
        <w:br/>
        <w:t>В обоснование своей позиции представитель Заказчика приложил руководства</w:t>
        <w:br/>
        <w:t>пользователя к многофункциональным устройствам « Kyocera», «HP (Hewlett-</w:t>
        <w:br/>
        <w:t>Packard)», а также информационное письмо от компании ООО «ЭйчПи Инк» исх.</w:t>
        <w:br/>
        <w:t>№INF/1281/2020 от 14.12.2020.</w:t>
        <w:br/>
        <w:t>Представитель Заказчика также пояснил, что положениями фирмы HP для МФУ</w:t>
        <w:br/>
        <w:t>моделей LaserJet Pro MFP M329, M428-M429; МФУ HP Color LaserJet MFP M480</w:t>
        <w:br/>
        <w:t>указано:</w:t>
        <w:br/>
        <w:t>«Политика фирмы HP относительно расходных материалов сторонних</w:t>
        <w:br/>
        <w:t>2025-41336</w:t>
        <w:br/>
        <w:t>4</w:t>
        <w:br/>
        <w:t>производителей</w:t>
        <w:br/>
        <w:t>HP не рекомендует использовать новые или восстановленные картриджи с</w:t>
        <w:br/>
        <w:t>тонером сторонних производителей.</w:t>
        <w:br/>
        <w:t>ПРИМЕЧАНИЕ. Использование в принтерах HP картриджей с тонером</w:t>
        <w:br/>
        <w:t>других производителей (не HP) или повторно заправленных картриджей не влияет</w:t>
        <w:br/>
        <w:t>на гарантийные обязательства перед клиентом или на доступность клиентской</w:t>
        <w:br/>
        <w:t>поддержки HP . Однако, если сбой или повреждение связано с использованием</w:t>
        <w:br/>
        <w:t>картриджа с тонером другого производителя (не HP) или повторно заправленного</w:t>
      </w:r>
    </w:p>
    <w:p>
      <w:r>
        <w:t>картриджа, компанией HP взимается оплата за время и материалы по</w:t>
        <w:br/>
        <w:t>стандартным расценкам за обслуживание устройства в связи с конкретным сбоем</w:t>
        <w:br/>
        <w:t>или повреждением».</w:t>
        <w:br/>
        <w:t>При этом схожая информация указана и в руководстве по эксплуатации Kyocera</w:t>
        <w:br/>
        <w:t>TASKalfa 3500i/4500i/5500i:</w:t>
        <w:br/>
        <w:t>«Рекомендуется использовать расходные материалы только с нашей торговой</w:t>
        <w:br/>
        <w:t>маркой. Мы не несем ответственности за любое повреждение, вызванное</w:t>
        <w:br/>
        <w:t>использованием в этом аппарате расходных материалов других производителей»:</w:t>
        <w:br/>
        <w:t>в руководстве по эксплуатации Kyocera TASKalfa 4012i:</w:t>
        <w:br/>
        <w:t>«Для получения неизменно качественных результатов мы рекомендуем</w:t>
        <w:br/>
        <w:t>использовать исключительно фирменные контейнеры с тонером, прошедшие</w:t>
        <w:br/>
        <w:t>жесткий контроль качества.</w:t>
        <w:br/>
        <w:t>Пожалуйста, примите во внимание, что в случае если пользователь решит</w:t>
        <w:br/>
        <w:t>использовать неоригинальный (контрафактный или совместимый) тонер, то мы не</w:t>
        <w:br/>
        <w:t>гарантируем надлежащую работу устройства. Мы не проводили тестирования</w:t>
        <w:br/>
        <w:t>тонеров, изготовленных другими производителями, в связи с чем мы не можем</w:t>
        <w:br/>
        <w:t>достоверно утверждать, что тот или иной тонер, изготовленный другим</w:t>
        <w:br/>
        <w:t>производителем, совместим с нашей продукцией. Мы рекомендуем использовать</w:t>
        <w:br/>
        <w:t>оригинальный тонер, как указано в Руководстве пользователя, прилагаемом к</w:t>
        <w:br/>
        <w:t>устройству. Использование неоригинального (контрафактного или совместимого)</w:t>
        <w:br/>
        <w:t>тонера может привести к повреждению устройства. Подобное повреждение</w:t>
        <w:br/>
        <w:t>может повлиять на условия гарантии и повлечь дополнительные расходы для</w:t>
        <w:br/>
        <w:t>пользователя в связи со снятием таких устройств с гарантийного ремонта. Кроме</w:t>
        <w:br/>
        <w:t>того, использование контрафактного тонера – это поддержка незаконной</w:t>
        <w:br/>
        <w:t>деятельности недобросовестных производителей, действующих с нарушением</w:t>
        <w:br/>
        <w:t>законов Российской Федерации. Просим принять во внимание настоящую</w:t>
        <w:br/>
        <w:t>информацию о рисках, связанных с использованием неоригинального тонера».</w:t>
        <w:br/>
        <w:t>Вместе с этим представитель Заказчика пояснил, что на данный момент</w:t>
        <w:br/>
        <w:t>гарантии на многофункциональные устройства с товарными знаками «Kyocera», «HP</w:t>
        <w:br/>
        <w:t>(Hewlett-Packard)», находящиеся на балансе Заказчика, прекратили свое действие.</w:t>
        <w:br/>
        <w:t>Комиссия Управления считает необходимым отметить, что ст.33 Закона</w:t>
        <w:br/>
        <w:t>о контрактной системе содержит в себе закрытый перечень случаев, когда Заказчик</w:t>
        <w:br/>
        <w:t>вправе закупать товары конкретного производителя (пп. «б» - «г» п.1 ч.1 ст.33 Закона</w:t>
        <w:br/>
        <w:t>о контрактной системе), во всех остальных случаях, совокупности всех требований</w:t>
      </w:r>
    </w:p>
    <w:p>
      <w:r>
        <w:t>извещения, в том числе и всем требованиям описания объекта закупки, должны</w:t>
        <w:br/>
        <w:t>2025-41336</w:t>
        <w:br/>
        <w:t>5</w:t>
        <w:br/>
        <w:t>соответствовать товары как минимум двух различных производителей.</w:t>
        <w:br/>
        <w:t>Кроме того,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 действующего</w:t>
        <w:br/>
        <w:t>законодательства.</w:t>
        <w:br/>
        <w:t>Так, на заседании Комиссии Управления представителем Заказчика не</w:t>
        <w:br/>
        <w:t>представлено каких-либо документов, указывающих на необходимость</w:t>
        <w:br/>
        <w:t>использования Заказчиком исключительно оригинальных картриджей при</w:t>
        <w:br/>
        <w:t>эксплуатации имеющегося у Заказчика оборудования «Kyocera», «HP (Hewlett-</w:t>
        <w:br/>
        <w:t>Packard)».</w:t>
        <w:br/>
        <w:t>В том числе не представлено сведений, указывающих на то, что оборудование</w:t>
        <w:br/>
        <w:t>Заказчика находится на гарантийном обслуживании производителя или поставщика</w:t>
        <w:br/>
        <w:t>и условия такого обслуживания, что не позволяет Комиссии Управления прийти к</w:t>
        <w:br/>
        <w:t>выводу о том, что в данном случае Заказчик обязан использовать исключительно</w:t>
        <w:br/>
        <w:t>оригинальные картриджи в целях сохранения гарантии.</w:t>
        <w:br/>
        <w:t>Так, если необходимость поставки оригинальных расходных материалов</w:t>
        <w:br/>
        <w:t>обусловлена обоснованной потребностью Заказчика это не может являться</w:t>
        <w:br/>
        <w:t>нарушением Закона о контрактной системе, однако Заказчиком не представлены</w:t>
        <w:br/>
        <w:t>документы, указывающие на необходимость использования исключительно</w:t>
        <w:br/>
        <w:t>оригинальных расходных материалов.</w:t>
        <w:br/>
        <w:t>На основе вышеизложенного, Комиссия Управления приходит к выводу о</w:t>
        <w:br/>
        <w:t>нарушении Заказчиком положений п.1 ч.1 ст.33 Закона о контрактной системе, что</w:t>
        <w:br/>
        <w:t>содержит признаки состава административного правонарушения, ответственность</w:t>
        <w:br/>
        <w:t>за которое предусмотрена ч.6 ст.7.30.1 Кодекса Российской Федерации об</w:t>
        <w:br/>
        <w:t>административных правонарушениях.</w:t>
        <w:br/>
        <w:t>Исследовав представленные материалы, Законом о контрактной системе,</w:t>
        <w:br/>
        <w:t>Комиссия Управления</w:t>
        <w:br/>
        <w:t>2025-41336</w:t>
        <w:br/>
        <w:t>6</w:t>
        <w:br/>
        <w:t>РЕШИЛА:</w:t>
        <w:br/>
        <w:t>1. Признать жалоб у ООО «Печатное Мастерство» на действия</w:t>
        <w:br/>
        <w:t>ФГБУ «ГНЦДК» Минздрава России обоснованной.</w:t>
        <w:br/>
        <w:t>2. Признать в действиях Заказчика нарушение п.1 ч.1 ст.33 Закона о</w:t>
        <w:br/>
        <w:t>контрактной системе.</w:t>
        <w:br/>
        <w:t>3. 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</w:r>
    </w:p>
    <w:p>
      <w:r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Е.Д. Мартьянова</w:t>
        <w:br/>
        <w:t>Члены комиссии:</w:t>
        <w:br/>
        <w:t>А.А. Леонова</w:t>
        <w:br/>
        <w:t>А.И. Рахматуллаев</w:t>
        <w:br/>
        <w:t>Исп.Рахматуллаев А.И.</w:t>
        <w:br/>
        <w:t>тел.+7 495 784 75 05</w:t>
        <w:br/>
        <w:t>2025-41336</w:t>
      </w:r>
    </w:p>
    <w:p>
      <w:pPr>
        <w:pStyle w:val="Heading1"/>
      </w:pPr>
      <w:r>
        <w:t>Предписание</w:t>
      </w:r>
    </w:p>
    <w:p>
      <w:r>
        <w:t>ФГБУ «ГНЦДК» Минздрава России</w:t>
        <w:br/>
        <w:t>fedorova@cnikvi.ru</w:t>
        <w:br/>
        <w:t>ООО «Печатное Мастерство»</w:t>
        <w:br/>
        <w:t>printmastender@ya.ru</w:t>
        <w:br/>
        <w:t>АО «Сбербанк-АСТ»</w:t>
        <w:br/>
        <w:t>info@sberbank-ast.ru</w:t>
        <w:br/>
        <w:t>ПРЕДПИСАНИЕ</w:t>
        <w:br/>
        <w:t>по делу №077/06/106-11247/2025 об устранении нарушений</w:t>
        <w:br/>
        <w:t>законодательства о контрактной системе</w:t>
        <w:br/>
        <w:t>09.09.2025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 ,</w:t>
        <w:br/>
        <w:t>Членов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А.И. Рахматуллаева ,</w:t>
        <w:br/>
        <w:t>на основании решения Комиссии от 09.09.2025 по делу 077/06/106-</w:t>
        <w:br/>
        <w:t>11247/2025, по итогам рассмотрения жалобы ООО «Печатное Мастерство» (далее</w:t>
        <w:br/>
        <w:t>— Заявитель) на действия ФГБУ «ГНЦДК» Минздрава России (далее — Заказчик)</w:t>
        <w:br/>
        <w:t>при проведении электронного аукциона на право заключения государственного</w:t>
        <w:br/>
        <w:t>контракта на поставку оригинальных расходных материалов для оргтехники для</w:t>
        <w:br/>
        <w:t>нужд ФГБУ «ГНЦДК» Минздрава России (Закупка №0373100117425000079) (далее</w:t>
        <w:br/>
        <w:t>– 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2025-41350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</w:r>
    </w:p>
    <w:p>
      <w:r>
        <w:t>требованиями Закона о контрактной системе и с учетом решения от 09.09.2025 по</w:t>
        <w:br/>
        <w:t>делу № 077/06/106-11247/2025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09.09.2025 по делу 077/06/106-11247/2025.</w:t>
        <w:br/>
        <w:t>6. Заказчику, комиссии по осуществлению закупок в срок до 09.10.2025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2025-41350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09.09.2025 по делу № 077/06/106-11247/2025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А.А. Леонова</w:t>
        <w:br/>
        <w:t>А.И. Рахматуллаев</w:t>
        <w:br/>
        <w:t>Исп.Рахматуллаев А.И.</w:t>
        <w:br/>
        <w:t>тел.+7 495 784 75 05</w:t>
        <w:br/>
        <w:t>2025-41350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