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202500132489014343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23.09.2025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0173200001425001282</w:t>
      </w:r>
    </w:p>
    <w:p>
      <w:r>
        <w:rPr>
          <w:b/>
        </w:rPr>
        <w:t xml:space="preserve">Заказчик: </w:t>
      </w:r>
      <w:r>
        <w:t>ГКУ города Москвы «Информационный город»</w:t>
      </w:r>
    </w:p>
    <w:p>
      <w:r>
        <w:rPr>
          <w:b/>
        </w:rPr>
        <w:t xml:space="preserve">Заявитель: </w:t>
      </w:r>
      <w:r>
        <w:t>ООО «Группа компаний »Зортек"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https://zakupki.gov.ru/epz/complaint/card/complaint-information.html?complaintNumber=202500132489014343</w:t>
      </w:r>
    </w:p>
    <w:p/>
    <w:p>
      <w:pPr>
        <w:pStyle w:val="Heading1"/>
      </w:pPr>
      <w:r>
        <w:t>Решение</w:t>
      </w:r>
    </w:p>
    <w:p>
      <w:r>
        <w:t>ООО «Группа Компаний «Зортек»</w:t>
        <w:br/>
        <w:t>tender@zortekgroup.com</w:t>
        <w:br/>
        <w:t>Департамент города Москвы по</w:t>
        <w:br/>
        <w:t>конкурентной политике</w:t>
        <w:br/>
        <w:t>mostender@mos.ru</w:t>
        <w:br/>
        <w:t>ГКУ «Инфогород»</w:t>
        <w:br/>
        <w:t>ig_zakupki@it.mos.ru</w:t>
        <w:br/>
        <w:t>АО«ЕЭТП»</w:t>
        <w:br/>
        <w:t>ko@roseltorg.ru</w:t>
        <w:br/>
        <w:t>РЕШЕНИЕ</w:t>
        <w:br/>
        <w:t>по делу № 077/06/106-11690/2025 о нарушении</w:t>
        <w:br/>
        <w:t>законодательства о контрактной системе</w:t>
        <w:br/>
        <w:t>23.09.2025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А.И. Рахматуллаева,</w:t>
        <w:br/>
        <w:t>Ведущего 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Департамента города Москвы по конкурентной политике: П.В. Полубоярцева</w:t>
        <w:br/>
        <w:t>(по дов. от 20.01.2025 №77-13-1/25-9),</w:t>
        <w:br/>
        <w:t>ГКУ «Инфогород»: С .Ю. Зиновьева (по дов. от 28.04.2025 №65-08-46/25),</w:t>
        <w:br/>
        <w:t>ООО «Группа Компаний «Зортек»: С.С. Соколова (по дов. от 22.09.2025 №</w:t>
        <w:br/>
        <w:t>22.09.25),</w:t>
        <w:br/>
        <w:t>рассмотрев жалобу ООО «Группа Компаний «Зортек» (далее — Заявитель) на</w:t>
        <w:br/>
        <w:t>действия ГКУ «Инфогород» (далее — Заказчик) при проведении электронного</w:t>
        <w:br/>
        <w:t>аукциона на право заключения государственного контракта на поставку расходных</w:t>
        <w:br/>
        <w:t>материалов (Закупка №0173200001425001282) (далее – аукцион, электронный</w:t>
        <w:br/>
        <w:t>аукцион) в соответствии с Федеральным законом от 05.04.2013 № 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2025-43886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1. Заявитель обжалует действия Заказчика, выразившиеся закупке</w:t>
        <w:br/>
        <w:t>оригинальных расходных материалов (картриджей) без возможности поставки</w:t>
        <w:br/>
        <w:t>эквивалентной продукции, что делает невозможным применение защитных мер</w:t>
        <w:br/>
        <w:t>национального режима.</w:t>
        <w:br/>
        <w:t>Вместе с тем подателем жалобы отмечено, что производитель в руководстве по</w:t>
        <w:br/>
        <w:t>эксплуатации печатного оборудования Заказчика указал на рекомендацию, а не на</w:t>
        <w:br/>
        <w:t>запрет использования оригинальных картриджей, что послужило основанием для</w:t>
        <w:br/>
        <w:t>подачи жалобы.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</w:r>
    </w:p>
    <w:p>
      <w:r>
        <w:t>В соответствии с п.1 ч.1 ст.33 Закона о контрактной системе в описании</w:t>
        <w:br/>
        <w:t>объекта 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 В описание объекта закупки не должны включаться требования или</w:t>
        <w:br/>
        <w:t>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2025-43886</w:t>
        <w:br/>
        <w:t>3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 иностранное</w:t>
        <w:br/>
        <w:t>государство) товару, работе, услуге, соответственно выполняемой, оказываемой</w:t>
        <w:br/>
        <w:t>иностранным гражданином или иностранным юридическим лицом (далее -</w:t>
      </w:r>
    </w:p>
    <w:p>
      <w:r>
        <w:t>иностранное лицо), равные условия с товаром российского происхождения, работой,</w:t>
        <w:br/>
        <w:t>услугой, соответственно выполняемой, оказываемой российским гражданином или</w:t>
        <w:br/>
        <w:t>российским юридическим лицом (далее - российское лицо), за исключением случаев</w:t>
        <w:br/>
        <w:t>принятия Правительством Российской Федерации мер, предусмотренных п.1 ч.2 ст.14</w:t>
        <w:br/>
        <w:t>Закона о контрактной системе. Если иное не предусмотрено мерами, принятыми</w:t>
        <w:br/>
        <w:t>Правительством Российской Федерации в соответствии с п.1 ч.2 ст.14 Закона о</w:t>
        <w:br/>
        <w:t>контрактной системе, положения ст.14 Закона о контрактной системе, касающиеся</w:t>
        <w:br/>
        <w:t>товара российского происхождения, работы, услуги, соответственно выполняемой,</w:t>
        <w:br/>
        <w:t>оказываемой российским лицом, применяются также в отношении товара,</w:t>
        <w:br/>
        <w:t>происходящего из иностранного государства, работы, услуги, соответственно</w:t>
        <w:br/>
        <w:t>выполняемой, оказываемой иностранным лицом, которым предоставляются равные</w:t>
        <w:br/>
        <w:t>условия с товаром российского происхождения, работой, услугой, соответственно</w:t>
        <w:br/>
        <w:t>выполняемой, 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2025-43886</w:t>
        <w:br/>
        <w:t>4</w:t>
        <w:br/>
        <w:t>ограничение закупок товара:</w:t>
        <w:br/>
        <w:t>а) все заявки на участие в закупке, содержащие предложения о поставке такого</w:t>
      </w:r>
    </w:p>
    <w:p>
      <w:r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</w:t>
        <w:br/>
        <w:t>по 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Комиссией Управления установлено, что согласно описанию объектов закупки</w:t>
        <w:br/>
        <w:t>Заказчиком установлены следующие требования к закупаемым расходным</w:t>
        <w:br/>
        <w:t>материалам, в частности:</w:t>
        <w:br/>
        <w:t>по п.3 «Блок барабана (фотобарабана/ фотокондуктора/ фоторецептора) для</w:t>
        <w:br/>
        <w:t>лазерных многофункциональных устройств (МФУ)» кода ОКПД2 26.20.40.190 :</w:t>
        <w:br/>
        <w:t>«Товарный знак производителя оргтехники: Катюша; Вид оргтехники:</w:t>
        <w:br/>
        <w:t>Многофункциональное устройство (МФУ); Вид комплектующего изделия/</w:t>
        <w:br/>
        <w:t>расходного материала: Блок барабана</w:t>
        <w:br/>
        <w:t>(фотобарабана/фотокондуктора/фоторецептора); Модель комплектующего</w:t>
        <w:br/>
        <w:t>изделия/ расходного материала: PCM247; Требование оригинальности</w:t>
        <w:br/>
        <w:t>комплектующего изделия/ расходного материала: Оригинальный(ая)»;</w:t>
      </w:r>
    </w:p>
    <w:p>
      <w:r>
        <w:t>по п.11 «Картридж для электрографических печатающих устройств» позиции</w:t>
        <w:br/>
        <w:t>КТРУ 20.59.12.120-00000002: «Товарный знак производителя оргтехники: Sindoh;</w:t>
        <w:br/>
        <w:t>Вид оргтехники: Многофункциональное устройство (МФУ); Вид комплектующего</w:t>
        <w:br/>
        <w:t>изделия/ расходного материала: Картридж для электрографических печатающих</w:t>
        <w:br/>
        <w:t>устройств; Модель комплектующего изделия/ расходного материала: P300T6KK-W;</w:t>
        <w:br/>
        <w:t>2025-43886</w:t>
        <w:br/>
        <w:t>5</w:t>
        <w:br/>
        <w:t>Требование оригинальности комплектующего изделия/ расходного материала:</w:t>
        <w:br/>
        <w:t>Оригинальный(ая)».</w:t>
        <w:br/>
        <w:t>Относительно национального режима в извещении для 18 позиций описания</w:t>
        <w:br/>
        <w:t>объектов закупки «Картридж для электрографических печатающих устройств»</w:t>
        <w:br/>
        <w:t>позиции КТРУ 20.59.12.120-00000002 и «Блок барабана (фотобарабана/</w:t>
        <w:br/>
        <w:t>фотокондуктора/ фоторецептора) для лазерных многофункциональных устройств</w:t>
        <w:br/>
        <w:t>(МФУ)» кода ОКПД2 26.20.40.190 указано следующее: « Осуществляется закупка</w:t>
        <w:br/>
        <w:t>товара из числа запасных частей и расходных материалов к машинам и</w:t>
        <w:br/>
        <w:t>оборудованию, используемым заказчиком, в соответствии с технической</w:t>
        <w:br/>
        <w:t>документацией на указанные машины и оборудование. Положения настоящего</w:t>
        <w:br/>
        <w:t>подпункта не применяются при осуществлении закупок товаров, указанных в</w:t>
        <w:br/>
        <w:t>приложении N 2 к настоящему постановлению и являющихся расходными</w:t>
        <w:br/>
        <w:t>материалами, комплектующими, принадлежностями к медицинским изделиям ».</w:t>
        <w:br/>
        <w:t>В отношении остальных расходных материалов Заказчиком установлены</w:t>
        <w:br/>
        <w:t>ограничения закупок товаров, происходящих из иностранных государств,</w:t>
        <w:br/>
        <w:t>предусмотренные абз.3 п.1 Постановления Правительства Российской Федерации от</w:t>
        <w:br/>
        <w:t>23.12.2024 № 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 1875).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</w:t>
        <w:br/>
        <w:t>рамках обжалуемой закупки Заказчиком закупаются расходные материалы к</w:t>
        <w:br/>
        <w:t>многофункциональным устройствам Катюща и Sindoh, находящихся на гарантии</w:t>
        <w:br/>
        <w:t>поставщика, ввиду чего, для исполнения гарантийных обязательств Заказчику</w:t>
        <w:br/>
        <w:t>необходимо использовать исключительно оригинальные расходные материалы.</w:t>
        <w:br/>
        <w:t>Ввиду чего для исполнения гарантийных обязательств Заказчику необходимо</w:t>
        <w:br/>
        <w:t>использовать исключительно оригинальные расходные материалы, что не</w:t>
      </w:r>
    </w:p>
    <w:p>
      <w:r>
        <w:t>противоречит положениям пп. «в» п.1 ч.1 ст.33 Закона о контрактной системе.</w:t>
        <w:br/>
        <w:t>В обоснование своей позиции представитель Заказчика приложил руководство</w:t>
        <w:br/>
        <w:t>пользователя к многофункциональным устройствам Катюша и Sindoh, гарантийные</w:t>
        <w:br/>
        <w:t>карты на многофункциональные устройства Катюша и Sindoh, письма ООО</w:t>
        <w:br/>
        <w:t>«КАТЮША ПРИНТ» от 13.02.2025 исх.1123 и ООО «СИНДО КО. ЛТД» от</w:t>
        <w:br/>
        <w:t>07.05.2025, подтверждающие наличия запрета на использование неоригинальных</w:t>
        <w:br/>
        <w:t>расходных материалов.</w:t>
        <w:br/>
        <w:t>При принятии решения Комиссия Управления исходит из того, что ст.33</w:t>
        <w:br/>
        <w:t>Закона о контрактной систем содержит в себе закрытый перечень случаев, когда</w:t>
        <w:br/>
        <w:t>Заказчик вправе закупать товары конкретного производителя (пп. «б» - «г» п.1 ч.1</w:t>
        <w:br/>
        <w:t>ст.33 Закона о контрактной системе), во всех остальных случаях, совокупности</w:t>
        <w:br/>
        <w:t>всех требований извещения, в том числе и всем требованиям описания объекта</w:t>
        <w:br/>
        <w:t>2025-43886</w:t>
        <w:br/>
        <w:t>6</w:t>
        <w:br/>
        <w:t>закупки, должны соответствовать товары как минимум двух различных</w:t>
        <w:br/>
        <w:t>производителей.</w:t>
        <w:br/>
        <w:t>Вместе с тем обязанность по формированию описания объекта закупки в</w:t>
        <w:br/>
        <w:t>соответствии с положениями ст.33 Закона о контрактной системе возложена на</w:t>
        <w:br/>
        <w:t>Заказчика, следовательно, именно Заказчик при формировании извещения об</w:t>
        <w:br/>
        <w:t>осуществлении закупочной процедуры должен обладать документальным</w:t>
        <w:br/>
        <w:t>подтверждением соответствие описания объекта закупки требованиям действующего</w:t>
        <w:br/>
        <w:t>законодательства.</w:t>
        <w:br/>
        <w:t>Так, в ходе изучения представленный документов и сведений Комиссией</w:t>
        <w:br/>
        <w:t>Управления определено, что в разделе 2.6 «Сведения об использовании расходных</w:t>
        <w:br/>
        <w:t>материалов» руководства пользователя на устройство Катюша установлен запрет на</w:t>
        <w:br/>
        <w:t>использование неоригинальных материалов в оборудовании «Катюша». Качество</w:t>
        <w:br/>
        <w:t>печати, ресурс и надежность печатного оборудования под товарным знаком</w:t>
        <w:br/>
        <w:t>«Катюша» гарантируется только при использовании оригинальных расходных</w:t>
        <w:br/>
        <w:t>материалов «Катюша».</w:t>
        <w:br/>
        <w:t>При этом Заказчиком представлены гарантийные карты, в частности по п.3</w:t>
        <w:br/>
        <w:t>представлена гарантийная карта от поставщика ООО «Поларис», подтверждающие</w:t>
        <w:br/>
        <w:t>наличие гарантии на многофункциональное устройство Катюша модели М247 на 36</w:t>
        <w:br/>
        <w:t>месяцев с даты начала гарантии 23.12.2022.</w:t>
        <w:br/>
        <w:t>Аналогичным образом Комиссией Управления установлено, что Заказчиком</w:t>
        <w:br/>
        <w:t>представлены гарантийные карты , согласно которым, например по п.11 имеется</w:t>
        <w:br/>
        <w:t>гарантия поставщика на 48 месяцев на многофункциональное устройство Sindoh</w:t>
        <w:br/>
        <w:t>модели C300 датой отгрузки от 04.12.2023.</w:t>
      </w:r>
    </w:p>
    <w:p>
      <w:r>
        <w:t>В ходе изучения представленный документов и сведений Комиссией</w:t>
        <w:br/>
        <w:t>Управления также определено, что в эксплуатационной документации на</w:t>
        <w:br/>
        <w:t>оборудование Sindoh модели C300, представленной в материалах дела Заказчиком,</w:t>
        <w:br/>
        <w:t>также установлен запрет на использование неоригинальных материалов.</w:t>
        <w:br/>
        <w:t>Использование расходных материалов или компонентов сторонних производителей</w:t>
        <w:br/>
        <w:t>может повлиять на производительность, надежность или срок службы устройства и</w:t>
        <w:br/>
        <w:t>его компонентов. Это также может повлиять на гарантийные обязательства.</w:t>
        <w:br/>
        <w:t>Комиссия Управления акцентирует внимание сторон, что положениями ст.33</w:t>
        <w:br/>
        <w:t>Закона о контрактной системе определено, что допускается использование в</w:t>
        <w:br/>
        <w:t>описании объекта закупки указания на товарный знак, в том числе при условии</w:t>
        <w:br/>
        <w:t>закупки запасных частей и расходных материалов к машинам и оборудованию,</w:t>
        <w:br/>
        <w:t>используемым Заказчиком, в соответствии с технической документацией на</w:t>
        <w:br/>
        <w:t>указанные машины и оборудование, что и было сделано Заказчиком в данной</w:t>
        <w:br/>
        <w:t>закупке.</w:t>
        <w:br/>
        <w:t>Таким образом, Комиссия Управления при принятии решения исходит из того,</w:t>
        <w:br/>
        <w:t>что в данном случае речь идёт не только о фактической совместимости или</w:t>
        <w:br/>
        <w:t>несовместимости оборудования Заказчика и расходных материалов сторонних</w:t>
        <w:br/>
        <w:t>производителей, но и о потребности Заказчика в оригинальных расходных</w:t>
        <w:br/>
        <w:t>материалов для сохранения гарантии производителя на имеющееся у него</w:t>
        <w:br/>
        <w:t>оборудование.</w:t>
        <w:br/>
        <w:t>2025-43886</w:t>
        <w:br/>
        <w:t>7</w:t>
        <w:br/>
        <w:t>В связи с чем Комиссия Управления приходит к выводу о том, что</w:t>
        <w:br/>
        <w:t>вышеуказанный довод жалобы не нашел своего подтверждения и является</w:t>
        <w:br/>
        <w:t>необоснованным.</w:t>
        <w:br/>
        <w:t>2.Также согласно доводам жалобы описание объектов закупки сформировано</w:t>
        <w:br/>
        <w:t>Заказчиком в нарушение ч.1.1 ст.33 Закона о контрактной системе, так как при</w:t>
        <w:br/>
        <w:t>формировании описания объекта закупки не учитывались товары российского</w:t>
        <w:br/>
        <w:t>происхождения.</w:t>
        <w:br/>
        <w:t>В соответствии с ч.1.1 ст.33 Закона о контрактной системе при описании</w:t>
        <w:br/>
        <w:t>являющегося объектом закупки товара (в том числе поставляемого при выполнении</w:t>
        <w:br/>
        <w:t>закупаемой работы, оказании закупаемой услуги), в отношении которого</w:t>
        <w:br/>
        <w:t>установлены предусмотренные п. 1 ч. 2 ст. 14 Закона о контрактной системе запрет,</w:t>
        <w:br/>
        <w:t>ограничение или преимущество, указываются характеристики товара российского</w:t>
        <w:br/>
        <w:t>происхождения.</w:t>
        <w:br/>
        <w:t>Комиссией Управления установлено, что согласно описанию объектов закупки</w:t>
        <w:br/>
        <w:t>Заказчиком установлены следующие требования к закупаемым расходным</w:t>
      </w:r>
    </w:p>
    <w:p>
      <w:r>
        <w:t>материалам, в частности, по п.1 «Картридж для электрографических печатающих</w:t>
        <w:br/>
        <w:t>устройств» позиции КТРУ 20.59.12.120-00000002: «Товарный знак производителя</w:t>
        <w:br/>
        <w:t>оргтехники: Hewlett-Packard; Вид оргтехники: Многофункциональное</w:t>
        <w:br/>
        <w:t>устройство (МФУ); Вид комплектующего изделия/ расходного материала:</w:t>
        <w:br/>
        <w:t>Картридж для электрографических печатающих устройств; Модель</w:t>
        <w:br/>
        <w:t>комплектующего изделия/ расходного материала: W2031X; Требование</w:t>
        <w:br/>
        <w:t>оригинальности комплектующего изделия/ расходного материала:</w:t>
        <w:br/>
        <w:t>Совместимый(ая)».</w:t>
        <w:br/>
        <w:t>На заседании Комиссии Управления представитель Заказчика пояснил, что</w:t>
        <w:br/>
        <w:t>Заказчику требуются совместимые расходные материалы к имеющемуся у Заказчика</w:t>
        <w:br/>
        <w:t>товарному знаку производителя оргтехники Hewlett-Packard с любым артикулом к</w:t>
        <w:br/>
        <w:t>модели картриджа для электрографических печатающих устройств модели</w:t>
        <w:br/>
        <w:t>комплектующего изделия «W2031X», что подтверждается указанием на совместимые</w:t>
        <w:br/>
        <w:t>расходные материалы в составе описания закупаемого объекта. В свою очередь,</w:t>
        <w:br/>
        <w:t>указание на модель комплектующего «W2031X» служит образцом для возможности</w:t>
        <w:br/>
        <w:t>предложения эквивалентной продукции.</w:t>
        <w:br/>
        <w:t>Комиссия Управления не может согласиться с позицией Заказчика, поскольку</w:t>
        <w:br/>
        <w:t>вопреки пояснениям предложить к поставке продукцию российского происхождения</w:t>
        <w:br/>
        <w:t>не представляется возможным, так как требование к конкретной модели</w:t>
        <w:br/>
        <w:t>комплектующего оргтехники Hewlett-Packard предусматривает предложение</w:t>
        <w:br/>
        <w:t>исключительно иностранного товара.</w:t>
        <w:br/>
        <w:t>Таким образом, Комиссия Управления приходит к выводу о нарушении</w:t>
        <w:br/>
        <w:t>Заказчиком ч. 1.1 ст. 33 Закона о контрактной системе, что также свидетельствует о</w:t>
        <w:br/>
        <w:t>наличии в действиях Заказчика признаков состава административного</w:t>
        <w:br/>
        <w:t>правонарушения, ответственность за которое предусмотрена ч. 5 ст. 7.30.1 Кодекса</w:t>
        <w:br/>
        <w:t>Российской Федерации об административных правонарушениях.</w:t>
        <w:br/>
        <w:t>Вместе с тем в ходе проведения внеплановой проверки на действия Заказчика</w:t>
        <w:br/>
        <w:t>Комиссией Управления установлено, что Заказчиком в описании объектов закупки</w:t>
        <w:br/>
        <w:t>2025-43886</w:t>
        <w:br/>
        <w:t>8</w:t>
        <w:br/>
        <w:t>предъявлены в том числе следующее:</w:t>
        <w:br/>
        <w:t>по п.«Картридж для электрографических печатающих устройств» позиции</w:t>
        <w:br/>
        <w:t>КТРУ 20.59.12.120-00000002: «Товарный знак производителя оргтехники: Hewlett-</w:t>
        <w:br/>
        <w:t>Packard; Вид оргтехники: Многофункциональное устройство (МФУ); Вид</w:t>
        <w:br/>
        <w:t>комплектующего изделия/ расходного материала: Картридж для</w:t>
        <w:br/>
        <w:t>электрографических печатающих устройств; Модель комплектующего изделия/</w:t>
        <w:br/>
        <w:t>расходного материала: W2031X; Требование оригинальности комплектующего</w:t>
        <w:br/>
        <w:t>изделия/ расходного материала: Совместимый(ая)»;</w:t>
        <w:br/>
        <w:t>по п. «Барабан (фотобарабан/ фотокондуктор/ фоторецептор) для лазерных</w:t>
        <w:br/>
        <w:t>многофункциональных устройств (МФУ)» кода ОКПД2 26.20.40.190: «Товарный знак</w:t>
        <w:br/>
        <w:t>производителя оргтехники: Brother; Вид оргтехники: Многофункциональное</w:t>
        <w:br/>
        <w:t>устройство (МФУ); Вид комплектующего изделия/ расходного материала: Блок</w:t>
      </w:r>
    </w:p>
    <w:p>
      <w:r>
        <w:t>барабана (фотобарабана/фотокондуктора/фоторецептора); Модель</w:t>
        <w:br/>
        <w:t>комплектующего изделия/ расходного материала: DR-421CL; Требование</w:t>
        <w:br/>
        <w:t>оригинальности комплектующего изделия/ расходного материала:</w:t>
        <w:br/>
        <w:t>Оригинальный(ая), Совместимый(ая)» (Значение характеристики не может</w:t>
        <w:br/>
        <w:t>изменяться участником закупки);</w:t>
        <w:br/>
        <w:t>по п.«Картридж для электрографических печатающих устройств» позиции</w:t>
        <w:br/>
        <w:t>КТРУ 20.59.12.120-00000002: «Товарный знак производителя оргтехники: HP; Вид</w:t>
        <w:br/>
        <w:t>оргтехники: Принтер, Многофункциональное устройство (МФУ); Вид</w:t>
        <w:br/>
        <w:t>комплектующего изделия/ расходного материала: Картридж для</w:t>
        <w:br/>
        <w:t>электрографических печатающих устройств; Требование оригинальности</w:t>
        <w:br/>
        <w:t>комплектующего изделия/ расходного материала: Оригинальный(ая),</w:t>
        <w:br/>
        <w:t>Совместимый(ая)» (Значение характеристики не может изменяться участником</w:t>
        <w:br/>
        <w:t>закупк.</w:t>
        <w:br/>
        <w:t>При описании требований подобным образом Комиссия Управления отмечает,</w:t>
        <w:br/>
        <w:t>что формирование описания объекта закупки подобным образом является</w:t>
        <w:br/>
        <w:t>неправомерным, поскольку содержит в себе противоречивые (взаимоисключающие)</w:t>
        <w:br/>
        <w:t>требования, а именно: указание на модель соответствующую оригинальным товарам</w:t>
        <w:br/>
        <w:t>при одновременном указании на закупку совместимого / одновременное указание</w:t>
        <w:br/>
        <w:t>неизменяемого значения «Оригинальный(ая), Совместимый(ая)».</w:t>
        <w:br/>
        <w:t>Вследствие чего Комиссия Управления приходит к выводу о нарушении в</w:t>
        <w:br/>
        <w:t>действиях Заказчика п.1 ч.1, ч.2 ст.33 Закона о контрактной системе при</w:t>
        <w:br/>
        <w:t>формировании описания объекта закупки, что содержит признаки состава</w:t>
        <w:br/>
        <w:t>административного правонарушения, ответственность за которое предусмотрена ч.5</w:t>
        <w:br/>
        <w:t>ст.7.30.1 Кодекса Российской Федерации об административных правонарушениях.</w:t>
        <w:br/>
        <w:t>Исследовав представленные материалы, Законом о контрактной системе,</w:t>
        <w:br/>
        <w:t>Комиссия Управления</w:t>
        <w:br/>
        <w:t>2025-43886</w:t>
        <w:br/>
        <w:t>9</w:t>
        <w:br/>
        <w:t>РЕШИЛА:</w:t>
        <w:br/>
        <w:t>1.Признать жалоб у ООО «Группа Компаний «Зортек» на действия</w:t>
        <w:br/>
        <w:t>ГКУ «Инфогород» обоснованн ой в части неправомерного описания объектов</w:t>
        <w:br/>
        <w:t>закупки.</w:t>
        <w:br/>
        <w:t>2.Признать в действиях Заказчика нарушения п.1 ч.1, ч.1.1, ч.2 ст.33 Закона о</w:t>
        <w:br/>
        <w:t>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Д.С. Грешнева</w:t>
        <w:br/>
        <w:t>Члены Комиссии:</w:t>
        <w:br/>
        <w:t>А.И. Рахматуллаев</w:t>
        <w:br/>
        <w:t>М.В. Сорбучева</w:t>
        <w:br/>
        <w:t>Исп.Сорбучева М.В.</w:t>
        <w:br/>
        <w:t>тел.8(495)784-75-05</w:t>
        <w:br/>
        <w:t>2025-43886</w:t>
      </w:r>
    </w:p>
    <w:p>
      <w:pPr>
        <w:pStyle w:val="Heading1"/>
      </w:pPr>
      <w:r>
        <w:t>Предписание</w:t>
      </w:r>
    </w:p>
    <w:p>
      <w:r>
        <w:t>ООО «Группа Компаний «Зортек»</w:t>
        <w:br/>
        <w:t>tender@zortekgroup.com</w:t>
        <w:br/>
        <w:t>Департамент города Москвы по</w:t>
        <w:br/>
        <w:t>конкурентной политике</w:t>
        <w:br/>
        <w:t>mostender@mos.ru</w:t>
        <w:br/>
        <w:t>ГКУ «Инфогород»</w:t>
        <w:br/>
        <w:t>ig_zakupki@it.mos.ru</w:t>
        <w:br/>
        <w:t>АО«ЕЭТП»</w:t>
        <w:br/>
        <w:t>ko@roseltorg.ru</w:t>
        <w:br/>
        <w:t>ПРЕДПИСАНИЕ</w:t>
        <w:br/>
        <w:t>по делу № 077/06/106-11690/2025 об устранении нарушений</w:t>
        <w:br/>
        <w:t>законодательства о контрактной системе</w:t>
        <w:br/>
        <w:t>23.09.2025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А.И. Рахматуллаева,</w:t>
        <w:br/>
        <w:t>Ведущего специалиста-эксперта отдела обжалования государственных закупок</w:t>
        <w:br/>
        <w:t>М.В. Сорбучевой,</w:t>
        <w:br/>
        <w:t>на основании решения Комиссии от 23.09.2025 по делу 077/06/106-</w:t>
        <w:br/>
        <w:t>11690/2025, по итогам рассмотрения жалобы ООО «Группа Компаний «Зортек»</w:t>
        <w:br/>
        <w:t>(далее — Заявитель) на действия ГКУ «Инфогород»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расходных материалов (Закупка №0173200001425001282)</w:t>
        <w:br/>
        <w:t>(далее – аукцион)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</w:t>
        <w:br/>
        <w:t>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закупке.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закупке:</w:t>
        <w:br/>
        <w:t>2025-43885</w:t>
        <w:br/>
        <w:t>2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 проведении электронного аукциона в соответствие с</w:t>
      </w:r>
    </w:p>
    <w:p>
      <w:r>
        <w:t>требованиями Закона о контрактной системе и с учетом решения от 23.09.2025 по</w:t>
        <w:br/>
        <w:t>делу № 077/06/106-11690/2025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23.09.2025 по делу 077/06/106-11690/2025.</w:t>
        <w:br/>
        <w:t>6. Заказчику, комиссии по осуществлению закупок в срок до 23.10.2025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  <w:br/>
        <w:t>2025-43885</w:t>
        <w:br/>
        <w:t>3</w:t>
        <w:br/>
        <w:t>об административных правонарушениях влечет наложение административного</w:t>
      </w:r>
    </w:p>
    <w:p>
      <w:r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23.09.2025 по делу № 077/06/106-11690/2025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А.И. Рахматуллаев</w:t>
        <w:br/>
        <w:t>М.В. Сорбучева</w:t>
        <w:br/>
        <w:t>Исп.Сорбучева М.В.</w:t>
        <w:br/>
        <w:t>тел.8(495)784-75-05</w:t>
        <w:br/>
        <w:t>2025-43885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