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Дело № 202500132489014641</w:t>
      </w:r>
    </w:p>
    <w:p>
      <w:r>
        <w:rPr>
          <w:b/>
        </w:rPr>
        <w:t xml:space="preserve">УФАС: </w:t>
      </w:r>
      <w:r>
        <w:t>УФАС по г. Москве</w:t>
      </w:r>
    </w:p>
    <w:p>
      <w:r>
        <w:rPr>
          <w:b/>
        </w:rPr>
        <w:t xml:space="preserve">Дата решения: </w:t>
      </w:r>
      <w:r>
        <w:t>26.09.2025</w:t>
      </w:r>
    </w:p>
    <w:p>
      <w:r>
        <w:rPr>
          <w:b/>
        </w:rPr>
        <w:t xml:space="preserve">Исход: </w:t>
      </w:r>
      <w:r>
        <w:t>обоснована</w:t>
      </w:r>
    </w:p>
    <w:p>
      <w:r>
        <w:rPr>
          <w:b/>
        </w:rPr>
        <w:t xml:space="preserve">Закупка №: </w:t>
      </w:r>
      <w:r>
        <w:t>0373200032025000589</w:t>
      </w:r>
    </w:p>
    <w:p>
      <w:r>
        <w:rPr>
          <w:b/>
        </w:rPr>
        <w:t xml:space="preserve">Заказчик: </w:t>
      </w:r>
      <w:r>
        <w:t>ГБУЗ города Москвы «Психиатрическая клиническая больница № 1 им. Н. А. Алексеева департамента здравоохранения города Москвы»</w:t>
      </w:r>
    </w:p>
    <w:p>
      <w:r>
        <w:rPr>
          <w:b/>
        </w:rPr>
        <w:t xml:space="preserve">Заявитель: </w:t>
      </w:r>
      <w:r>
        <w:t>ООО «Печатное мастерство»</w:t>
      </w:r>
    </w:p>
    <w:p>
      <w:r>
        <w:rPr>
          <w:b/>
        </w:rPr>
        <w:t xml:space="preserve">Первоисточник в ЕИС: </w:t>
      </w:r>
      <w:r>
        <w:t>https://zakupki.gov.ru/epz/complaint/card/complaint-information.html?complaintNumber=202500132489014641</w:t>
      </w:r>
    </w:p>
    <w:p/>
    <w:p>
      <w:pPr>
        <w:pStyle w:val="Heading1"/>
      </w:pPr>
      <w:r>
        <w:t>Решение</w:t>
      </w:r>
    </w:p>
    <w:p>
      <w:r>
        <w:t>ГБУЗ «ПКБ № 1 ДЗМ»</w:t>
        <w:br/>
        <w:t>pkb1@zdrav.mos.ru</w:t>
        <w:br/>
        <w:t>ООО «Печатное Мастерство»</w:t>
        <w:br/>
        <w:t>printmastender@ya.ru</w:t>
        <w:br/>
        <w:t>АО «ЕЭТП»</w:t>
        <w:br/>
        <w:t>info@roseltorg.ru</w:t>
        <w:br/>
        <w:t>РЕШЕНИЕ</w:t>
        <w:br/>
        <w:t>по делу № 077/06/106-12060/2025 о нарушении</w:t>
        <w:br/>
        <w:t>законодательства о контрактной системе</w:t>
        <w:br/>
        <w:t>26.09.2025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 Управления)</w:t>
        <w:br/>
        <w:t>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Главного государственного инспектора отдела обжалования государственных</w:t>
        <w:br/>
        <w:t>закупок А.А. Матюшенко ,</w:t>
        <w:br/>
        <w:t>Специалиста-эксперта отдела обжалования государственных закупок</w:t>
        <w:br/>
        <w:t>А.А. Леоновой,</w:t>
        <w:br/>
        <w:t>рассмотрение жалобы проводилось дистанционно (посредством видео-</w:t>
        <w:br/>
        <w:t>конференц связи),</w:t>
        <w:br/>
        <w:t>при участии представителя:</w:t>
        <w:br/>
        <w:t>ГБУЗ «ПКБ № 1 ДЗМ»: С.В. Малаховой (по доверенности № б/н от 04.03.2025),</w:t>
        <w:br/>
        <w:t>в отсутствие представителей ООО «Печатное Мастерство», о времени и порядке</w:t>
        <w:br/>
        <w:t>заседания Комиссии Управления уведомленных надлежащим образом посредством</w:t>
        <w:br/>
        <w:t>размещения информации в Единой информационной системе,</w:t>
        <w:br/>
        <w:t>рассмотрев жалобу ООО «Печатное Мастерство» (далее — Заявитель) на</w:t>
        <w:br/>
        <w:t>действия ГБУЗ «ПКБ № 1 ДЗМ» (далее — Заказчик) при проведении электронного</w:t>
        <w:br/>
        <w:t>аукциона на право заключения государственного контракта на поставку</w:t>
        <w:br/>
        <w:t>оригинальных расходных материалов для оргтехники для нужд ГБУЗ «ПКБ № 1</w:t>
        <w:br/>
        <w:t>ДЗМ» в 2025 году (Закупка № 0373200032025000589) (далее — электронный</w:t>
        <w:br/>
        <w:t>аукцион, аукцион ), в соответствии с Федеральным законом от 05.04.2013 № 44-ФЗ</w:t>
        <w:br/>
        <w:t>«О контрактной системе в сфере закупок товаров, работ, услуг для обеспечения</w:t>
        <w:br/>
        <w:t>государственных и муниципальных нужд» (далее — Закон о контрактной системе),</w:t>
        <w:br/>
        <w:t>2025-44292</w:t>
        <w:br/>
        <w:t>2</w:t>
        <w:br/>
        <w:t>УСТАНОВИЛА:</w:t>
        <w:br/>
        <w:t>В Московское УФАС России поступила жалоба Заявителя на действия</w:t>
        <w:br/>
        <w:t>Заказчика при проведении вышеуказанного электронного аукциона .</w:t>
        <w:br/>
        <w:t>В результате рассмотрения жалобы, рассмотрев представленные документы и</w:t>
        <w:br/>
        <w:t>сведения, запрашиваемые Московским УФАС России , Комиссия Управления</w:t>
        <w:br/>
        <w:t>установила следующее.</w:t>
        <w:br/>
        <w:t>В составе жалобы Заявитель указывает, что Заказчиком в составе извещения, в</w:t>
        <w:br/>
        <w:t>нарушение п.1 ч.1 ст.33 Закона о контрактной системе, установлено требование о</w:t>
        <w:br/>
        <w:t>поставке исключительно оригинальных товаров без возможности поставки</w:t>
        <w:br/>
        <w:t>эквивалентной продукции.</w:t>
        <w:br/>
        <w:t>В силу п.1 ч.2 ст.42 Закона о контрактной системе извещение об</w:t>
        <w:br/>
        <w:t>осуществлении закупки, если иное не предусмотрено Законом о контрактной</w:t>
        <w:br/>
        <w:t>системе, должно содержать описание объекта закупки в соответствии со ст. 33</w:t>
        <w:br/>
        <w:t>Закона о контрактной системе.</w:t>
      </w:r>
    </w:p>
    <w:p>
      <w:r>
        <w:t>Ч.1 ст.33 Закона о контрактной системе установлено, что Заказчик при описании</w:t>
        <w:br/>
        <w:t>объекта закупки должен руководствоваться следующими правилами:</w:t>
        <w:br/>
        <w:t>1) в описании объекта закупки указываются функциональные, технические и</w:t>
        <w:br/>
        <w:t>качественные характеристики, эксплуатационные характеристики объекта закупки</w:t>
        <w:br/>
        <w:t>(при необходимости). В описание объекта закупки не должны включаться требования</w:t>
        <w:br/>
        <w:t>или указания в отношении товарных знаков, знаков обслуживания, фирменных</w:t>
        <w:br/>
        <w:t>наименований, патентов, полезных моделей, промышленных образцов, наименование</w:t>
        <w:br/>
        <w:t>страны происхождения товара, требования к товарам, информации, работам, услугам</w:t>
        <w:br/>
        <w:t>при условии, что такие требования или указания влекут за собой ограничение</w:t>
        <w:br/>
        <w:t>количества участников закупки. Допускается использование в описании объекта</w:t>
        <w:br/>
        <w:t>закупки указания на товарный знак в следующих случаях:</w:t>
        <w:br/>
        <w:t>а) сопровождение такого указания словами «или эквивалент»;</w:t>
        <w:br/>
        <w:t>б) несовместимость товаров, на которых размещаются другие товарные знаки, и</w:t>
        <w:br/>
        <w:t>необходимость обеспечения взаимодействия таких товаров с товарами,</w:t>
        <w:br/>
        <w:t>используемыми заказчиком;</w:t>
        <w:br/>
        <w:t>в) осуществление закупки запасных частей и расходных материалов к машинам</w:t>
        <w:br/>
        <w:t>и оборудованию, используемым заказчиком, в соответствии с технической</w:t>
        <w:br/>
        <w:t>документацией на указанные машины и оборудование;</w:t>
        <w:br/>
        <w:t>г) осуществление закупки медицинских изделий, специализированных</w:t>
        <w:br/>
        <w:t>продуктов лечебного питания, необходимых для назначения пациенту по</w:t>
        <w:br/>
        <w:t>медицинским показаниям (индивидуальная непереносимость, по жизненным</w:t>
        <w:br/>
        <w:t>показаниям) по решению врачебной комиссии, которое фиксируется в медицинской</w:t>
        <w:br/>
        <w:t>документации пациента и журнале врачебной комиссии. Перечень указанных</w:t>
        <w:br/>
        <w:t>медицинских изделий, специализированных продуктов лечебного питания и порядок</w:t>
        <w:br/>
        <w:t>его формирования утверждаются Правительством Российской Федерации;</w:t>
        <w:br/>
        <w:t>2) использование при составлении описания объекта закупки показателей,</w:t>
        <w:br/>
        <w:t>требований, условных обозначений и терминологии, касающихся технических</w:t>
        <w:br/>
        <w:t>характеристик, функциональных характеристик (потребительских свойств) товара,</w:t>
        <w:br/>
        <w:t>2025-44292</w:t>
        <w:br/>
        <w:t>3</w:t>
        <w:br/>
        <w:t>работы, услуги и качественных характеристик объекта закупки, которые</w:t>
        <w:br/>
        <w:t>предусмотрены техническими регламентами, принятыми в соответствии с</w:t>
        <w:br/>
        <w:t>законодательством Российской Федерации о техническом регулировании,</w:t>
        <w:br/>
        <w:t>документами, разрабатываемыми и применяемыми в национальной системе</w:t>
        <w:br/>
        <w:t>стандартизации, принятыми в соответствии с законодательством Российской</w:t>
        <w:br/>
        <w:t>Федерации о стандартизации, иных требований, связанных с определением</w:t>
        <w:br/>
        <w:t>соответствия поставляемого товара, выполняемой работы, оказываемой услуги</w:t>
        <w:br/>
        <w:t>потребностям заказчика. Если заказчиком при составлении описания объекта закупки</w:t>
        <w:br/>
        <w:t>не используются установленные в соответствии с законодательством Российской</w:t>
      </w:r>
    </w:p>
    <w:p>
      <w:r>
        <w:t>Федерации о техническом регулировании, законодательством Российской Федерации</w:t>
        <w:br/>
        <w:t>о стандартизации показатели, требования, условные обозначения и терминология, в</w:t>
        <w:br/>
        <w:t>таком описании должно содержаться обоснование необходимости использования</w:t>
        <w:br/>
        <w:t>других показателей, требований, условных обозначений и терминологии.</w:t>
        <w:br/>
        <w:t>В соответствии с ч.2 ст.33 Закона о контрактной системе описание объекта</w:t>
        <w:br/>
        <w:t>закупки в соответствии с требованиями, указанными в ч.1 ст.33 Закона о контрактной</w:t>
        <w:br/>
        <w:t>системе, должно содержать показатели, позволяющие определить соответствие</w:t>
        <w:br/>
        <w:t>закупаемых товара, работы, услуги установленным заказчиком требованиям. При</w:t>
        <w:br/>
        <w:t>этом указываются максимальные и (или) минимальные значения таких показателей и</w:t>
        <w:br/>
        <w:t>(или) значения показателей, которые не могут изменяться.</w:t>
        <w:br/>
        <w:t>Комиссией Управления установлено, что в описании объекта закупки</w:t>
        <w:br/>
        <w:t>Заказчиком установлены требования к закупаемым товарам, например:</w:t>
        <w:br/>
        <w:t>-п. «Картридж для электрографических печатающих устройств» : «Товарный</w:t>
        <w:br/>
        <w:t>знак производителя оргтехники: Avision», «Требование оригинальности</w:t>
        <w:br/>
        <w:t>комплектующего изделия/ расходного материала: Оригинальный(ая)».</w:t>
        <w:br/>
        <w:t>В силу ч.1 ст.106 Закона о контрактной системе лица, права и законные</w:t>
        <w:br/>
        <w:t>интересы которых непосредственно затрагиваются в результате рассмотрения</w:t>
        <w:br/>
        <w:t>жалобы, вправе направить в контрольный орган в сфере закупок возражения на</w:t>
        <w:br/>
        <w:t>жалобу, участвовать в ее рассмотрении лично или через своих представителей.</w:t>
        <w:br/>
        <w:t>На заседании Комиссии Управления представитель Заказчика пояснил, что</w:t>
        <w:br/>
        <w:t>Заказчиком закупаются расходные материалы к принтерам с товарным знаком</w:t>
        <w:br/>
        <w:t>A VISION модели AP40, при этом указанные устройства поставлены в рамках</w:t>
        <w:br/>
        <w:t>Договора № Д-223-23/25А от 07.07.2025 «Поставка устройств печатающих</w:t>
        <w:br/>
        <w:t>(принтеров и многофункциональных устройств) для нужд ГБУЗ «ПКБ № 1 ДЗМ» в</w:t>
        <w:br/>
        <w:t>2025 году», заключенного с предоставлением гарантийных обязательств</w:t>
        <w:br/>
        <w:t>поставщика и производителя (Поставщик - 12 месяцев, Производитель - 24 месяца)</w:t>
        <w:br/>
        <w:t>с даты подписания структурированного документа о приемке Заказчиком. На</w:t>
        <w:br/>
        <w:t>основании информации, указанной в гарантийной карте, гарантия начинает</w:t>
        <w:br/>
        <w:t>действовать с 14.08.2025 (дата поставки оборудования), при этом в гарантийной</w:t>
        <w:br/>
        <w:t>карте также указано, что гарантия на оборудование не действует в случае если</w:t>
        <w:br/>
        <w:t>неисправность оригинальных компонентов или всего оборудования в целом вызвана</w:t>
        <w:br/>
        <w:t>использованием не качественных или не предназначенных для данной модели</w:t>
        <w:br/>
        <w:t>компонентов и/или расходных материалов.</w:t>
      </w:r>
    </w:p>
    <w:p>
      <w:r>
        <w:t>В обоснование своей позиции представитель Заказчика предоставил</w:t>
        <w:br/>
        <w:t>гарантийную карту от 14.08.2025 к Договору № Д-223-23/25А от 07.07.2025, в</w:t>
        <w:br/>
        <w:t>2025-44292</w:t>
        <w:br/>
        <w:t>4</w:t>
        <w:br/>
        <w:t>которой указан срок гарантии производителя - 24 месяца, руководство пользователя</w:t>
        <w:br/>
        <w:t>на принтер А4 Avision I nc, письмо от компании Avision Europe GmbH от 24.09.2025</w:t>
        <w:br/>
        <w:t>в котором указано, что компания Avision Europe GmbH, производитель</w:t>
        <w:br/>
        <w:t>копировально-множительной техники Avision, информирует, что для использования</w:t>
        <w:br/>
        <w:t>с оборудованием Avision AP40, Avision AM40Q, Avision AM40A, Avision AM40A</w:t>
        <w:br/>
        <w:t>plus, Avision AM43A plus рекомендованы определенные материалы.</w:t>
        <w:br/>
        <w:t>Также представитель Заказчика отметил, что требование к оригинальности</w:t>
        <w:br/>
        <w:t>установлено в том числе в соответствии с руководством пользователя, в разделе</w:t>
        <w:br/>
        <w:t>«Очистка предупреждений и ошибок» которого указано «Ошибка картриджа с</w:t>
        <w:br/>
        <w:t>тонером (200036, 201505, 201515): Замените картридж с тонером на деталь</w:t>
        <w:br/>
        <w:t>оригинального производителя».</w:t>
        <w:br/>
        <w:t>Вместе с тем Комиссия Управления отмечает, что вышеуказанное положение в</w:t>
        <w:br/>
        <w:t>разделе «Очистка предупреждений и ошибок» является частным случаем и</w:t>
        <w:br/>
        <w:t>относится непосредственно к возникновению ошибок, при возникновении которых</w:t>
        <w:br/>
        <w:t>производитель указывает на замену картриджа с тонером на деталь оригинального</w:t>
        <w:br/>
        <w:t>производителя.</w:t>
        <w:br/>
        <w:t>Одновременно с вышеизложенным Комиссия Управления отмечает, что</w:t>
        <w:br/>
        <w:t>представителем Заказчика не указаны какие-либо иные положения, а также не</w:t>
        <w:br/>
        <w:t>представлены иные документы, указывающие на необходимость использования</w:t>
        <w:br/>
        <w:t>Заказчиком исключительно оригинальных картриджей «Avision» при эксплуатации</w:t>
        <w:br/>
        <w:t>имеющегося у Заказчика оборудования.</w:t>
        <w:br/>
        <w:t>В частности, не представлено технической док ументации на оборудование</w:t>
        <w:br/>
        <w:t>Заказчика, содержащей указание на совместимость оборудования исключительно с</w:t>
        <w:br/>
        <w:t>оригинальными картриджами, а также не представлено условий гарантийного</w:t>
        <w:br/>
        <w:t>обслуживания, указывающих, что в случае использования неоригинальных</w:t>
        <w:br/>
        <w:t>расходных материалов гарантия не будет действовать , что не позволяет Комиссии</w:t>
        <w:br/>
        <w:t>Управления прийти к выводу о том, что в данном случае Заказчик обязан</w:t>
        <w:br/>
        <w:t>использовать исключительно оригинальные картриджи.</w:t>
        <w:br/>
        <w:t>В ходе изучения представленных документов и сведений Комиссией</w:t>
        <w:br/>
        <w:t>Управления также определено, что каких-либо положений регламентирующих, что</w:t>
        <w:br/>
        <w:t>использование не оригинальных расходных материалов повлечет за собой снятие</w:t>
        <w:br/>
        <w:t>гарантийных обязательств и невозможность ремонта оборудования Заказчиком не</w:t>
        <w:br/>
        <w:t>указано, Комиссией Управления не установлено.</w:t>
      </w:r>
    </w:p>
    <w:p>
      <w:r>
        <w:t>Комиссия Управления отмечает, что ст.33 Закона о контрактной системе</w:t>
        <w:br/>
        <w:t>содержит в себе закрытый перечень случаев, когда Заказчик в праве закупать товары</w:t>
        <w:br/>
        <w:t>конкретного производителя, вместе с тем, в рамках рассмотрения данной жалобы</w:t>
        <w:br/>
        <w:t>Заказчиком не представлено документов и сведений, подтверждающих, что в</w:t>
        <w:br/>
        <w:t>данном случае применимы условия отраженные в пп. «б» - «г» п.1 ч.1 ст.33 Закона о</w:t>
        <w:br/>
        <w:t>контрактной системе.</w:t>
        <w:br/>
        <w:t>Вместе с тем обязанность по формированию описания объекта закупки в</w:t>
        <w:br/>
        <w:t>соответствии с положениями ст.33 Закона о контрактной системе возложена на</w:t>
        <w:br/>
        <w:t>Заказчика, следовательно, именно Заказчик при формировании извещения об</w:t>
        <w:br/>
        <w:t>осуществлении закупочной процедуры должен обладать документальным</w:t>
        <w:br/>
        <w:t>подтверждением соответствие описания объекта закупки требованиям действующего</w:t>
        <w:br/>
        <w:t>2025-44292</w:t>
        <w:br/>
        <w:t>5</w:t>
        <w:br/>
        <w:t>законодательства.</w:t>
        <w:br/>
        <w:t>Так, если необходимость поставки оригинальных расходным материалов</w:t>
        <w:br/>
        <w:t>обусловлена обоснованной потребностью Заказчика это не может являться</w:t>
        <w:br/>
        <w:t>нарушением Закона о контрактной системе, однако Заказчиком не представлены</w:t>
        <w:br/>
        <w:t>документы, указывающие на необходимость использования исключительно</w:t>
        <w:br/>
        <w:t>оригинальных расходных материалов.</w:t>
        <w:br/>
        <w:t>На основе вышеизложенного, Комиссия Управления приходит к выводу о</w:t>
        <w:br/>
        <w:t>нарушении Заказчиком положений п.1 ч.1 ст.33 Закона о контрактной системе при</w:t>
        <w:br/>
        <w:t>формировании описания объекта закупки, что содержит признаки состава</w:t>
        <w:br/>
        <w:t>административного правонарушения, ответственность за которое предусмотрена</w:t>
        <w:br/>
        <w:t>ч.6 ст.7.30.1 Кодекса Российской Федерации об административных</w:t>
        <w:br/>
        <w:t>правонарушениях.</w:t>
        <w:br/>
        <w:t>Исследовав представленные материалы, руководствуясь Законом о контрактной</w:t>
        <w:br/>
        <w:t>системе, Комиссия Управления</w:t>
        <w:br/>
        <w:t>2025-44292</w:t>
        <w:br/>
        <w:t>6</w:t>
        <w:br/>
        <w:t>РЕШИЛА:</w:t>
        <w:br/>
        <w:t>1.Признать жалобу ООО «Печатное Мастерство» на действия ГБУЗ «ПКБ № 1</w:t>
        <w:br/>
        <w:t>ДЗМ» обоснованной.</w:t>
        <w:br/>
        <w:t>2.Признать в действиях Заказчика нарушение п.1 ч.1 ст.33 Закона о</w:t>
        <w:br/>
        <w:t>контрактной системе.</w:t>
        <w:br/>
        <w:t>3. Выдать Заказчику обязательное для исполнения предписание об устранении</w:t>
        <w:br/>
        <w:t>нарушений законодательства о контрактной системе.</w:t>
        <w:br/>
        <w:t>4.Передать материалы дела соответствующему должностному лицу</w:t>
        <w:br/>
        <w:t>Московского УФАС России для рассмотрения вопроса о возбуждении дела об</w:t>
        <w:br/>
        <w:t>административном правонарушении.</w:t>
        <w:br/>
        <w:t>Решение может быть обжаловано в судебном порядке в Арбитражном суде</w:t>
        <w:br/>
        <w:t>г. Москвы в течение 3 (трех) месяцев с даты его принятия в порядке, установленном</w:t>
        <w:br/>
        <w:t>гл. 24 АПК РФ.</w:t>
        <w:br/>
        <w:t>Председательствующий Е.Д. Мартьянова</w:t>
        <w:br/>
        <w:t>Члены комиссии:</w:t>
        <w:br/>
        <w:t>А.А. Матюшенко</w:t>
        <w:br/>
        <w:t>А.А. Леонова</w:t>
        <w:br/>
        <w:t>Исп. Леонова А.А.</w:t>
      </w:r>
    </w:p>
    <w:p>
      <w:r>
        <w:t>тел. (495) 784-75-05</w:t>
        <w:br/>
        <w:t>2025-44292</w:t>
      </w:r>
    </w:p>
    <w:p>
      <w:pPr>
        <w:pStyle w:val="Heading1"/>
      </w:pPr>
      <w:r>
        <w:t>Предписание</w:t>
      </w:r>
    </w:p>
    <w:p>
      <w:r>
        <w:t>ГБУЗ «ПКБ № 1 ДЗМ»</w:t>
        <w:br/>
        <w:t>pkb1@zdrav.mos.ru</w:t>
        <w:br/>
        <w:t>ООО «Печатное Мастерство»</w:t>
        <w:br/>
        <w:t>printmastender@ya.ru</w:t>
        <w:br/>
        <w:t>АО «ЕЭТП»</w:t>
        <w:br/>
        <w:t>info@roseltorg.ru</w:t>
        <w:br/>
        <w:t>ПРЕДПИСАНИЕ</w:t>
        <w:br/>
        <w:t>по делу № 077/06/106-12060/2025 об устранении нарушений</w:t>
        <w:br/>
        <w:t>законодательства о контрактной системе</w:t>
        <w:br/>
        <w:t>26.09.2025 г. Москва</w:t>
        <w:br/>
        <w:t>Комиссия по контролю в сфере закупок товаров, работ, услуг Управления</w:t>
        <w:br/>
        <w:t>Федеральной антимонопольной службы по г. Москве (далее – Комиссия</w:t>
        <w:br/>
        <w:t>Управления) в составе:</w:t>
        <w:br/>
        <w:t>Председательствующего – г лавного специалиста отдела обжалования</w:t>
        <w:br/>
        <w:t>государственных закупок Е.Д. Мартьяновой ,</w:t>
        <w:br/>
        <w:t>Члены Комиссии:</w:t>
        <w:br/>
        <w:t>Главного государственного инспектора отдела обжалования государственных</w:t>
        <w:br/>
        <w:t>закупок А.А. Матюшенко ,</w:t>
        <w:br/>
        <w:t>Специалиста-эксперта отдела обжалования государственных закупок</w:t>
        <w:br/>
        <w:t>А.А. Леоновой,</w:t>
        <w:br/>
        <w:t>на основании решения Комиссии Управления от 26.09.2025 по делу</w:t>
        <w:br/>
        <w:t>№ 077/06/106-12060/2025 , по итогам рассмотрения жалобы ООО «Печатное</w:t>
        <w:br/>
        <w:t>Мастерство» (далее — Заявитель) на действия ГБУЗ «ПКБ № 1 ДЗМ» (далее —</w:t>
        <w:br/>
        <w:t>Заказчик) при проведении электронного аукциона на право заключения</w:t>
        <w:br/>
        <w:t>государственного контракта на поставку оригинальных расходных материалов для</w:t>
        <w:br/>
        <w:t>оргтехники для нужд ГБУЗ «ПКБ № 1 ДЗМ» в 2025 году (Закупка</w:t>
        <w:br/>
        <w:t>№ 0373200032025000589) (далее — Аукцион) , в соответствии с Федеральным</w:t>
        <w:br/>
        <w:t>законом от 05.04.2013 №44-ФЗ «О контрактной системе в сфере закупок товаров,</w:t>
        <w:br/>
        <w:t>работ, услуг для обеспечения государственных и муниципальных нужд» (далее –</w:t>
        <w:br/>
        <w:t>Закон о контрактной системе),</w:t>
        <w:br/>
        <w:t>ПРЕДПИСЫВАЕТ:</w:t>
        <w:br/>
        <w:t>1. Заказчику, Комиссии по осуществлению закупок отменить протокол</w:t>
        <w:br/>
        <w:t>2025-44293</w:t>
        <w:br/>
        <w:t>2</w:t>
        <w:br/>
        <w:t>подведения итогов определения поставщика (подрядчика, исполнителя) .</w:t>
        <w:br/>
        <w:t>2. Оператору электронной площадки не позднее 1 рабочего дня со дня</w:t>
        <w:br/>
        <w:t>исполнения пункта 1 настоящего предписания:</w:t>
        <w:br/>
        <w:t>-отменить протокол подачи ценовых предложений ;</w:t>
        <w:br/>
        <w:t>-вернуть участникам закупки ранее поданные заявки на участие в</w:t>
        <w:br/>
        <w:t>Аукционе;</w:t>
        <w:br/>
        <w:t>-уведомить участников закупки, подавших заявки на участие в Аукционе, в</w:t>
        <w:br/>
        <w:t>том числе Заявителя, об отмене протокола подведения итогов определения</w:t>
        <w:br/>
        <w:t>поставщика (подрядчика, исполнителя), протокола подачи ценовых предложений, о</w:t>
        <w:br/>
        <w:t>прекращении действия заявок, поданных на участие в Аукционе, и о возможности</w:t>
        <w:br/>
        <w:t>подать новые заявки на участие в Аукционе;</w:t>
        <w:br/>
        <w:t>-прекратить блокирование операций по счетам для проведения операций по</w:t>
        <w:br/>
        <w:t>обеспечению участия в электронных аукционах, открытых участникам закупки,</w:t>
        <w:br/>
        <w:t>подавшим заявки на участие в Аукционе, в отношении денежных средств в размере</w:t>
        <w:br/>
        <w:t>обеспечения заявки на участие в Аукционе.</w:t>
        <w:br/>
        <w:t>3. Заказчику:</w:t>
        <w:br/>
        <w:t>-привести извещение о проведении электронного аукциона в соответствие</w:t>
      </w:r>
    </w:p>
    <w:p>
      <w:r>
        <w:t>с требованиями Закона о контрактной системе и с учетом решения от 26.09.2025 по</w:t>
        <w:br/>
        <w:t>делу № 077/06/106-12060/2025 и разместить соответствующее извещение в единой</w:t>
        <w:br/>
        <w:t>информационной системе ;</w:t>
        <w:br/>
        <w:t>-назначить новую дату окончания срока подачи заявок на участие в</w:t>
        <w:br/>
        <w:t>Аукционе, дату подачи ценовых предложений, дату подведения итогов определения</w:t>
        <w:br/>
        <w:t>поставщика (подрядчика, исполнителя), а также разместить указанные сведения в</w:t>
        <w:br/>
        <w:t>единой информационной системе в сфере закупок. При этом дата окончания срока</w:t>
        <w:br/>
        <w:t>подачи заявок на участие в Аукционе должна быть назначена в соответствии с ч.4</w:t>
        <w:br/>
        <w:t>ст.42 Закона о контрактной системе.</w:t>
        <w:br/>
        <w:t>4. Оператору электронной площадки не позднее 1 рабочего дня со дня</w:t>
        <w:br/>
        <w:t>исполнения пункта 3 настоящего предписания:</w:t>
        <w:br/>
        <w:t>-назначить время подачи ценовых предложений и разместить на</w:t>
        <w:br/>
        <w:t>электронной площадке информацию о времени подачи ценовых предложений;</w:t>
        <w:br/>
        <w:t>-уведомить участников закупки, подавших заявки на участие в Аукционе, в</w:t>
        <w:br/>
        <w:t>том числе Заявителя, о новой дате окончания срока подачи заявок на участие в</w:t>
        <w:br/>
        <w:t>Аукционе, дате подачи ценовых предложений, дате подведения итогов определения</w:t>
        <w:br/>
        <w:t>поставщика (подрядчика, исполнителя), а также о возможности подать новые заявки</w:t>
        <w:br/>
        <w:t>на участие в Аукционе.</w:t>
        <w:br/>
        <w:t>5. Заказчику, комиссии по осуществлению закупок Заказчика осуществить</w:t>
        <w:br/>
        <w:t>дальнейшее проведение процедуры закупки в соответствии с требованиями</w:t>
        <w:br/>
        <w:t>законодательства Российской Федерации о контрактной системе и с учетом решения</w:t>
        <w:br/>
        <w:t>Московского УФАС России от 26.09.2025 по делу № 077/06/106-12060/2025 .</w:t>
        <w:br/>
        <w:t>6. Заказчику, к омиссии по осуществлению закупок Заказчика в срок до</w:t>
        <w:br/>
        <w:t>27.10.2025 представить в Московское УФАС России подтверждение исполнения</w:t>
        <w:br/>
        <w:t>настоящего предписания в письменном виде или по факсимильной связи (8(495)</w:t>
        <w:br/>
        <w:t>607-42-92) или электронной почте по адре су: to77@fas.gov.ru .</w:t>
        <w:br/>
        <w:t>2025-44293</w:t>
        <w:br/>
        <w:t>3</w:t>
        <w:br/>
        <w:t>Невыполнение должностным лицом заказчика, должностным лицом</w:t>
        <w:br/>
        <w:t>уполномоченного органа, должностным лицом уполномоченного учреждения,</w:t>
        <w:br/>
        <w:t>членом комиссии по осуществлению закупок, оператором электронной площадки,</w:t>
        <w:br/>
        <w:t>специализированной организацией в установленный срок законного предписания,</w:t>
        <w:br/>
        <w:t>требования органа, уполномоченного на осуществление контроля в сфере закупок, за</w:t>
        <w:br/>
        <w:t>исключением органа, указанного в ч.7.1 ст.19.5 Кодекса Российской Федерации об</w:t>
      </w:r>
    </w:p>
    <w:p>
      <w:r>
        <w:t>административных правонарушениях, влечет наложение административного штрафа</w:t>
        <w:br/>
        <w:t>на должностных лиц в размере пятидесяти тысяч рублей в соответствии с ч.7 ст.19.5</w:t>
        <w:br/>
        <w:t>Кодекса Российской Федерации об административных правонарушениях.</w:t>
        <w:br/>
        <w:t>Настоящее предписание от 26.09.2025 по делу № 077/06/106-12060/2025</w:t>
        <w:br/>
        <w:t>может быть обжаловано в суде (арбитражный суд) в соответствии с</w:t>
        <w:br/>
        <w:t>законодательством Российской Федерации.</w:t>
        <w:br/>
        <w:t>Председательствующий Е.Д. Мартьянова</w:t>
        <w:br/>
        <w:t>Члены комиссии:</w:t>
        <w:br/>
        <w:t>А.А. Матюшенко</w:t>
        <w:br/>
        <w:t>А.А. Леонова</w:t>
        <w:br/>
        <w:t>Исп. Леонова А.А.</w:t>
        <w:br/>
        <w:t>тел. (495) 784-75-05</w:t>
        <w:br/>
        <w:t>2025-44293</w:t>
      </w:r>
    </w:p>
    <w:p/>
    <w:p>
      <w:r>
        <w:rPr>
          <w:i/>
          <w:sz w:val="16"/>
        </w:rPr>
        <w:t>Источник данных — ЕИС, zakupki.gov.ru (публичный реестр жалоб). Сервис не является официальным ресурсом ЕИС/Минфина и не аффилирован с ними.</w:t>
      </w:r>
    </w:p>
    <w:p>
      <w:r>
        <w:rPr>
          <w:i/>
          <w:sz w:val="16"/>
        </w:rPr>
        <w:t>Материал носит справочный характер; актуальность и полнота не гарантируются. Юридически значимые сведения проверяйте на первоисточнике на zakupki.gov.ru.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