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202500132489021735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15.01.2026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0373100004425000050</w:t>
      </w:r>
    </w:p>
    <w:p>
      <w:r>
        <w:rPr>
          <w:b/>
        </w:rPr>
        <w:t xml:space="preserve">Заказчик: </w:t>
      </w:r>
      <w:r>
        <w:t>Федеральное государственное бюджетное образовательное учреждение высшего образования «Государственный институт русского языка им. А.С. Пушкина»</w:t>
      </w:r>
    </w:p>
    <w:p>
      <w:r>
        <w:rPr>
          <w:b/>
        </w:rPr>
        <w:t xml:space="preserve">Заявитель: </w:t>
      </w:r>
      <w:r>
        <w:t>ООО частное охранное предприятие «Викториал секьюрити»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https://zakupki.gov.ru/epz/complaint/card/complaint-information.html?complaintNumber=202500132489021735</w:t>
      </w:r>
    </w:p>
    <w:p/>
    <w:p>
      <w:pPr>
        <w:pStyle w:val="Heading1"/>
      </w:pPr>
      <w:r>
        <w:t>Решение</w:t>
      </w:r>
    </w:p>
    <w:p>
      <w:r>
        <w:t>ФГБОУ ВО «Гос. ИРЯ им. А.С.</w:t>
        <w:br/>
        <w:t>Пушкина»</w:t>
        <w:br/>
        <w:t>zakupki@pushkin.institute</w:t>
        <w:br/>
        <w:t>ООО ЧОП «Викториал Секьюрити»</w:t>
        <w:br/>
        <w:t>victorial.security@bk.ru</w:t>
        <w:br/>
        <w:t>РЕШЕНИЕ</w:t>
        <w:br/>
        <w:t>по делу №077/06/106-449/2026 о нарушении</w:t>
        <w:br/>
        <w:t>законодательства о контрактной системе</w:t>
        <w:br/>
        <w:t>15.01.2026 г.Москва</w:t>
        <w:br/>
        <w:t>Комиссия Управления Федеральной антимонопольной службы по</w:t>
        <w:br/>
        <w:t>г. Москве по контролю в сфере закупок (далее – Комиссия Управления) в составе:</w:t>
        <w:br/>
        <w:t>Председательствующего: г 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Ведущего специалиста-эксперта отдела обжалования государственных закупок</w:t>
        <w:br/>
        <w:t>М.В. Сорбучевой,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 ей: ФГБОУ ВО «Гос. ИРЯ им. А.С. Пушкина»:</w:t>
        <w:br/>
        <w:t>Выставкиной О.В. (дов.№09Д от 14.01.2026), ООО ЧОП «Викториал Секьюрити»:</w:t>
        <w:br/>
        <w:t>Рачинской М.В. (дов.№1 от 11.02.2025),</w:t>
        <w:br/>
        <w:t>рассмотрев жалобу ФГБОУ ВО «Гос. ИРЯ им. А.С. Пушкина» (далее —</w:t>
        <w:br/>
        <w:t>Заявитель) на действия ФГБОУ ВО «Гос. ИРЯ им. А.С. Пушкина» (далее -</w:t>
        <w:br/>
        <w:t>Заказчик) при проведении открытого конкурса в электронной форме на право</w:t>
        <w:br/>
        <w:t>заключения государственного контракта на оказание услуг по охране объектов</w:t>
        <w:br/>
        <w:t>ФГБОУ ВО «Гос. ИРЯ им. А.С. Пушкина» (Закупка №0373100004425000050) (далее</w:t>
        <w:br/>
        <w:t>– конкурс),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2026-1626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Заявитель обжалует действия Заказчика, выразившиеся в утверждении</w:t>
        <w:br/>
        <w:t>извещения о проведении закупки в нарушение Закона о контрактной системе.</w:t>
        <w:br/>
        <w:t>По результатам рассмотрения жалобы, рассмотрев представленные</w:t>
        <w:br/>
        <w:t>документы и сведения, запрашиваемые Московским УФАС России, Комиссия</w:t>
        <w:br/>
        <w:t>Управления установила следующее.</w:t>
        <w:br/>
        <w:t>1. В составе жалобы Заявитель указывает, что в составе требований к</w:t>
        <w:br/>
        <w:t>составу заявки на участие в закупке Заказчиком неправомерно установлено</w:t>
        <w:br/>
        <w:t>требование о необходимости представления документов и сведений,</w:t>
        <w:br/>
        <w:t>подтверждающих наличие у участника закупки лицензии на осуществление</w:t>
        <w:br/>
        <w:t>деятельности по сохранению объектов культурного наследия.</w:t>
        <w:br/>
        <w:t>Согласно п.5 ч.1 ст.42 Закона о контрактной системе извещение об</w:t>
        <w:br/>
        <w:t>осуществлении закупки должно содержать наименование объекта закупки,</w:t>
        <w:br/>
        <w:t>информация (при наличии), предусмотренная правилами использования каталога</w:t>
        <w:br/>
        <w:t>товаров, работ, услуг для обеспечения государственных и муниципальных нужд,</w:t>
      </w:r>
    </w:p>
    <w:p>
      <w:r>
        <w:t>установленными в соответствии с ч.6 ст.23 Закона о контрактной системе, указание</w:t>
        <w:br/>
        <w:t>(в случае осуществления закупки лекарственных средств) на международные</w:t>
        <w:br/>
        <w:t>непатентованные наименования лекарственных средств или при отсутствии таких</w:t>
        <w:br/>
        <w:t>наименований химические, группировочные наименования.</w:t>
        <w:br/>
        <w:t>Комиссией Управления установлено, что, согласно извещению об</w:t>
        <w:br/>
        <w:t>осуществлении закупки, объектом закупки является оказание услуг по охране</w:t>
        <w:br/>
        <w:t>объектов ФГБОУ ВО «Гос. ИРЯ им. А.С. Пушкина».</w:t>
        <w:br/>
        <w:t>Согласно ч.1 ст.49 Гражданского кодекса Российской Федерации в случаях,</w:t>
        <w:br/>
        <w:t>предусмотренных законом, юридическое лицо может заниматься отдельными</w:t>
        <w:br/>
        <w:t>видами деятельности только на основании специального разрешения (лицензии),</w:t>
        <w:br/>
        <w:t>членства в саморегулируемой организации или выданного саморегулируемой</w:t>
        <w:br/>
        <w:t>организацией свидетельства о допуске к определенному виду работ.</w:t>
        <w:br/>
        <w:t>В силу п.32 ч.1 ст.12 Федерального закона «О лицензировании отдельных</w:t>
        <w:br/>
        <w:t>видов деятельности» от 04.05.2011 №99-ФЗ (далее - Закон о лицензировании)</w:t>
        <w:br/>
        <w:t>лицензированию подлежит такой вид деятельности как частная охранная</w:t>
        <w:br/>
        <w:t>деятельность.</w:t>
        <w:br/>
        <w:t>В силу п.48 ч.1 ст.12 Федерального закона «О лицензировании отдельных</w:t>
        <w:br/>
        <w:t>видов деятельности» от 04.05.2011 №99-ФЗ (далее - Закон о лицензировании)</w:t>
        <w:br/>
        <w:t>лицензированию подлежит такой вид деятельности как деятельность по</w:t>
        <w:br/>
        <w:t>сохранению объектов культурного наследия (памятников истории и культуры)</w:t>
        <w:br/>
        <w:t>народов Российской Федерации.</w:t>
        <w:br/>
        <w:t>Согласно п.1 ч.1 ст.31 Закона о контрактной системе при применении</w:t>
        <w:br/>
        <w:t>конкурентных способов, при осуществлении закупки у единственного поставщика</w:t>
        <w:br/>
        <w:t>2026-1626</w:t>
        <w:br/>
        <w:t>3</w:t>
        <w:br/>
        <w:t>(подрядчика, исполнителя) в случаях, предусмотренных п. 4, 5, 18, 30, 42, 49, 54 и</w:t>
        <w:br/>
        <w:t>59 ч.1 ст.93 Закона о контрактной системе, заказчик устанавливает единое</w:t>
        <w:br/>
        <w:t>требование к участникам закупки о соответствии требованиям, установленным в</w:t>
        <w:br/>
        <w:t>соответствии с законодательством Российской Федерации к лицам,</w:t>
        <w:br/>
        <w:t>осуществляющим поставку товара, выполнение работы, оказание услуги,</w:t>
        <w:br/>
        <w:t>являющихся объектом закупки.</w:t>
        <w:br/>
        <w:t>В силу ч.1 ст.11 Закона РФ от 11.03.1992 №2487-1 «О частной детективной и</w:t>
        <w:br/>
        <w:t>охранной деятельности в Российской Федерации» (далее — Закон о частной</w:t>
        <w:br/>
        <w:t>детективной и охранной деятельности) оказание услуг, перечисленных в части</w:t>
        <w:br/>
        <w:t>третьей ст.3 Закона о частной детективной и охранной деятельности, разрешается</w:t>
        <w:br/>
        <w:t>только организациям, специально учреждаемым для их выполнения и имеющим</w:t>
      </w:r>
    </w:p>
    <w:p>
      <w:r>
        <w:t>лицензию, предоставленную федеральным органом исполнительной власти,</w:t>
        <w:br/>
        <w:t>уполномоченным в сфере частной охранной деятельности, или его территориальным</w:t>
        <w:br/>
        <w:t>органом.</w:t>
        <w:br/>
        <w:t>Ч.1 ст.3 Закона о частной детективной и охранной деятельности в том числе</w:t>
        <w:br/>
        <w:t>определено, что в целях охраны разрешается предоставление следующих видов</w:t>
        <w:br/>
        <w:t>услуг:</w:t>
        <w:br/>
        <w:t>1)защита жизни и здоровья граждан;</w:t>
        <w:br/>
        <w:t>2)охрана объектов и (или) имущества (в том числе при его</w:t>
        <w:br/>
        <w:t>транспортировке), находящихся в собственности, во владении, в пользовании,</w:t>
        <w:br/>
        <w:t>хозяйственном ведении, оперативном управлении или доверительном управлении, за</w:t>
        <w:br/>
        <w:t>исключением объектов и (или) имущества, предусмотренных п.7 ч.1 ст.3 Закона о</w:t>
        <w:br/>
        <w:t>частной детективной и охранной деятельности;</w:t>
        <w:br/>
        <w:t>3)охрана объектов и (или) имущества на объектах с осуществлением работ</w:t>
        <w:br/>
        <w:t>по проектированию, монтажу и эксплуатационному обслуживанию технических</w:t>
        <w:br/>
        <w:t>средств охраны, перечень видов которых устанавливается Правительством</w:t>
        <w:br/>
        <w:t>Российской Федерации, и (или) с принятием соответствующих мер реагирования на</w:t>
        <w:br/>
        <w:t>их сигнальную информацию;</w:t>
        <w:br/>
        <w:t>4)консультирование и подготовка рекомендаций клиентам по вопросам</w:t>
        <w:br/>
        <w:t>правомерной защиты от противоправных посягательств;</w:t>
        <w:br/>
        <w:t>5)обеспечение порядка в местах проведения массовых мероприятий;</w:t>
        <w:br/>
        <w:t>6)обеспечение внутриобъектового и пропускного режимов на объектах, за</w:t>
        <w:br/>
        <w:t>исключением объектов, предусмотренных пунктом п.7 ч.1 ст.3 Закона о частной</w:t>
        <w:br/>
        <w:t>детективной и охранной деятельности;</w:t>
        <w:br/>
        <w:t>7)охрана объектов и (или) имущества, а также обеспечение</w:t>
        <w:br/>
        <w:t>внутриобъектового и пропускного режимов на объектах, в отношении которых</w:t>
        <w:br/>
        <w:t>установлены обязательные для выполнения требования к антитеррористической</w:t>
        <w:br/>
        <w:t>защищенности, за исключением объектов, предусмотренных ч.3 ст.11 Закона о</w:t>
        <w:br/>
        <w:t>частной детективной и охранной деятельности.</w:t>
        <w:br/>
        <w:t>Согласно п.12 ч.1 ст.42 Закона о контрактной системе извещение об</w:t>
        <w:br/>
        <w:t>осуществлении закупки, должно содержать требования, предъявляемые к участникам</w:t>
        <w:br/>
        <w:t>закупки в соответствии с ч.1 ст.31 Закона о контрактной системе, требования,</w:t>
        <w:br/>
        <w:t>предъявляемые к участникам закупки в соответствии с ч.2 и 2.1 (при наличии таких</w:t>
        <w:br/>
        <w:t>2026-1626</w:t>
        <w:br/>
        <w:t>4</w:t>
        <w:br/>
        <w:t>требований) ст.31 Закона о контрактной системе, и исчерпывающий перечень</w:t>
        <w:br/>
        <w:t>документов, подтверждающих соответствие участника закупки таким требованиям, а</w:t>
        <w:br/>
        <w:t>также требование, предъявляемое к участникам закупки в соответствии с ч.1.1 ст.31</w:t>
        <w:br/>
        <w:t>Закона о контрактной системе (при наличии такого требования).</w:t>
      </w:r>
    </w:p>
    <w:p>
      <w:r>
        <w:t>Согласно ч.5 ст.31 Закона о контрактной системе информация об</w:t>
        <w:br/>
        <w:t>установленных требованиях в соответствии с частями 1, 1.1, 2 и 2.1 ст.31 Закона о</w:t>
        <w:br/>
        <w:t>контрактной системе указывается заказчиком в извещении об осуществлении закупки</w:t>
        <w:br/>
        <w:t>и документации о закупке (в случае, если Закон ом о контрактной системе</w:t>
        <w:br/>
        <w:t>предусмотрена документация о закупке).</w:t>
        <w:br/>
        <w:t>Комиссией Управления определено, что в извещении об осуществлении</w:t>
        <w:br/>
        <w:t>закупки Заказчиком в том числе установлены следующие требования к участнику</w:t>
        <w:br/>
        <w:t>закупки: «Установлено - в соответствии с п. 32 ч.1 ст. 12 Федерального закона</w:t>
        <w:br/>
        <w:t>от 04 мая 2011г. № 99-ФЗ «О лицензировании отдельных видов деятельности» и</w:t>
        <w:br/>
        <w:t>Законом РФ от 11 марта 1992г. № 2487-1 «О частной детективной и охранной</w:t>
        <w:br/>
        <w:t>деятельности в Российской Федерации» (далее – Закон № 2487-1)) Копия</w:t>
        <w:br/>
        <w:t>действующей лицензии на осуществление частной охранной деятельности на</w:t>
        <w:br/>
        <w:t>следующие виды услуг: • защита жизни и здоровья граждан (п.1 ч.3 ст.3 Закона №</w:t>
        <w:br/>
        <w:t>2487-1); • охрана объектов и (или) имущества (в том числе при его</w:t>
        <w:br/>
        <w:t>транспортировке), находящихся в собственности, во владении, в пользовании,</w:t>
        <w:br/>
        <w:t>хозяйственном ведении, оперативном управлении или доверительном управлении,</w:t>
        <w:br/>
        <w:t>за исключением объектов и (или) имущества, предусмотренных пунктом 7 ч. 3</w:t>
        <w:br/>
        <w:t>ст.3 Закона №2487-1 (п.2 ч.3 ст.3 Закона № 2487-1); • консультирование и</w:t>
        <w:br/>
        <w:t>подготовка рекомендаций клиентам по вопросам правомерной защиты от</w:t>
        <w:br/>
        <w:t>противоправных посягательств; • обеспечение внутриобъектового и пропускного</w:t>
        <w:br/>
        <w:t>режимов на объектах, за исключением объектов, предусмотренных пунктом 7</w:t>
        <w:br/>
        <w:t>части третьей статьи Закона РФ « О частной детективной и охранной</w:t>
        <w:br/>
        <w:t>деятельности в РФ»; • охрана объектов и (или) имущества, а также обеспечение</w:t>
        <w:br/>
        <w:t>внутриобъектового и пропускного режимов на объектах, в отношении которых</w:t>
        <w:br/>
        <w:t>установлены обязательные для выполнения требования к антитеррористической</w:t>
        <w:br/>
        <w:t>защищенности (в ред. Федерального закона от 31.12.2014 N 534-ФЗ) или охрана</w:t>
        <w:br/>
        <w:t>объектов и (или) имущества, а так же обеспечение внутриобъектового и</w:t>
        <w:br/>
        <w:t>пропускного режимов на объектах, которые имеют особо важное значение для</w:t>
        <w:br/>
        <w:t>обеспечения жизнедеятельности и безопасности государства и населения (в</w:t>
      </w:r>
    </w:p>
    <w:p>
      <w:r>
        <w:t>редакции Федерального закона от 22.12.2008 N 272-ФЗ) ».</w:t>
        <w:br/>
        <w:t>Согласно п.3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требования к содержанию, составу заявки на участие в</w:t>
        <w:br/>
        <w:t>закупке в соответствии с Законом о контрактной системе и инструкция по ее</w:t>
        <w:br/>
        <w:t>заполнению. При этом не допускается установление требований, влекущих за</w:t>
        <w:br/>
        <w:t>собой ограничение количества участников закупки.</w:t>
        <w:br/>
        <w:t>2026-1626</w:t>
        <w:br/>
        <w:t>5</w:t>
        <w:br/>
        <w:t>В силу ч.2 ст.48 Закона о контрактной системе заявка на участие в закупке</w:t>
        <w:br/>
        <w:t>состоит из трех частей, при этом вторая часть должна содержать информацию и</w:t>
        <w:br/>
        <w:t>документы, предусмотренные пп.«м» - «р» п.1, пп «в» п.2, п.5 ч.1 ст.43 Закона о</w:t>
        <w:br/>
        <w:t>контрактной системе.</w:t>
        <w:br/>
        <w:t>В соответствии с пп.«н» п.1 ч.1 ст.43 Закона о контрактной системе для</w:t>
        <w:br/>
        <w:t>участия в конкурентном способе заявка на участие в закупке, если иное не</w:t>
        <w:br/>
        <w:t>предусмотрено Законом о контрактной системе, должна содержать документы,</w:t>
        <w:br/>
        <w:t>подтверждающие соответствие участника закупки требованиям, установленным п.1</w:t>
        <w:br/>
        <w:t>ч.1 ст.31 Закона о контрактной системе, документы, подтверждающие соответствие</w:t>
        <w:br/>
        <w:t>участника закупки дополнительным требованиям, установленным в соответствии с</w:t>
        <w:br/>
        <w:t>ч. 2 и 2.1 (при наличии таких требований) ст.31 Закона о контрактной системе, если</w:t>
        <w:br/>
        <w:t>иное не предусмотрено Законом о контрактной системе.</w:t>
        <w:br/>
        <w:t>В силу ч.3 ст.43 Закона о контрактной системе требовать от участника</w:t>
        <w:br/>
        <w:t>закупки представления иных информации и документов, за исключением</w:t>
        <w:br/>
        <w:t>предусмотренных ч.1 и 2 ст.43 Закона о контрактной системе, не допускается.</w:t>
        <w:br/>
        <w:t>Комиссией Управления установлено, что в электронном документе 1</w:t>
        <w:br/>
        <w:t>«Требования к содержанию и составу заявки на участие в закупке - две части»,</w:t>
        <w:br/>
        <w:t>размещенном в составе извещения, Заказчиком установлено в том числе</w:t>
        <w:br/>
        <w:t>следующее требование к составу заявки на участие в закупке: « Согласно п.20 и</w:t>
        <w:br/>
        <w:t>п.21 постановления Правительства РФ от 29 декабря 2020 года N 2343 «Об</w:t>
        <w:br/>
        <w:t>утверждении Правил формирования и ведения реестра лицензий и типовой формы</w:t>
        <w:br/>
        <w:t>выписки из реестра лицензий» сведения, содержащиеся в реестрах лицензий,</w:t>
      </w:r>
    </w:p>
    <w:p>
      <w:r>
        <w:t>являются открытыми, и подлежат размещению в сети «Интернет», за</w:t>
        <w:br/>
        <w:t>исключением случаев, если доступ к таким сведениям в соответствии с</w:t>
        <w:br/>
        <w:t>законодательством Российской Федерации ограничен.</w:t>
        <w:br/>
        <w:t>Участник вправе предоставить выписку из реестра лицензий на</w:t>
        <w:br/>
        <w:t>осуществление деятельности по сохранению объектов культурного наследия, по</w:t>
        <w:br/>
        <w:t>типовой форме, утверждённой постановлением Правительства РФ от 29.12.2020</w:t>
        <w:br/>
        <w:t>№ 2343, либо копию акта лицензирующего органа о принятом решении</w:t>
        <w:br/>
        <w:t>подтверждающую, что участник закупки имеет перечень видов работ</w:t>
        <w:br/>
        <w:t>лицензионной деятельности по следующими видами работ:</w:t>
        <w:br/>
        <w:t>-разработка проектной документации и технический надзор за</w:t>
        <w:br/>
        <w:t>проведением работ по консервации, реставрации и воссозданию объектов</w:t>
        <w:br/>
        <w:t>культурного наследия (памятников истории и культуры) народов Российской</w:t>
        <w:br/>
        <w:t>Федерации, а также по приспособлению объектов культурного наследия</w:t>
        <w:br/>
        <w:t>(памятников истории и культуры) народов Российской Федерации для</w:t>
        <w:br/>
        <w:t>современного использования, включая реставрацию представляющих собой</w:t>
        <w:br/>
        <w:t>историко-культурную ценность элементов объекта культурного наследия;</w:t>
        <w:br/>
        <w:t>-разработка проектной документации и технический надзор за</w:t>
        <w:br/>
        <w:t>проведением работ по ремонту и приспособлению инженерных систем и</w:t>
        <w:br/>
        <w:t>оборудования объектов культурного наследия (памятников истории и культуры)</w:t>
        <w:br/>
        <w:t>2026-1626</w:t>
        <w:br/>
        <w:t>6</w:t>
        <w:br/>
        <w:t>народов Российской Федерации для современного использования и иных работ по</w:t>
        <w:br/>
        <w:t>ремонту и приспособлению объектов культурного наследия (памятников истории</w:t>
        <w:br/>
        <w:t>и культуры) народов Российской Федерации, не включающих реставрацию</w:t>
        <w:br/>
        <w:t>представляющих собой историко-культурную ценность элементов объекта</w:t>
        <w:br/>
        <w:t>культурного наследия.</w:t>
        <w:br/>
        <w:t>При этом выписка из реестра лицензий в форме электронного документа,</w:t>
        <w:br/>
        <w:t>должна быть подписана усиленной квалифицированной электронной подписью</w:t>
        <w:br/>
        <w:t>лицензирующего органа либо, в случае ведения реестра лицензий в федеральной</w:t>
        <w:br/>
        <w:t>государственной информационной системе, электронной подписью указанной</w:t>
        <w:br/>
        <w:t>системы».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корректные требования к участникам закупки установлены Заказчиком в</w:t>
        <w:br/>
        <w:t>извещении об осуществлении закупки, при этом в случае противоречий</w:t>
        <w:br/>
        <w:t>установленных требований приоритет имеет информация, сформированная с</w:t>
      </w:r>
    </w:p>
    <w:p>
      <w:r>
        <w:t>использованием единой информационной системы.</w:t>
        <w:br/>
        <w:t>Вместе с этим, исходя из вышеизложенных положений извещения, Комиссия</w:t>
        <w:br/>
        <w:t>Управления приходит к выводу, что в составе требований к составу заявки на</w:t>
        <w:br/>
        <w:t>участие в закупке Заказчиком установлено избыточное требование о</w:t>
        <w:br/>
        <w:t>необходимости представления документов и сведений, подтверждающих наличие у</w:t>
        <w:br/>
        <w:t>участника закупки лицензии на осуществление деятельности по сохранению</w:t>
        <w:br/>
        <w:t>объектов культурного наследия, в то время как в единых требованиях к участникам</w:t>
        <w:br/>
        <w:t>закупки требования о необходимости наличия у участника закупки</w:t>
        <w:br/>
        <w:t>соответствующей лицензии не установлено.</w:t>
        <w:br/>
        <w:t>Также Комиссия Управления отмечает, что единые требования к участникам</w:t>
        <w:br/>
        <w:t>закупки и требования к составу заявки на участие в закупки по своей сути</w:t>
        <w:br/>
        <w:t>являются различными, обособленными требованиями, в связи с чем положения о</w:t>
        <w:br/>
        <w:t>приоритете информации, сформированная с использованием единой</w:t>
        <w:br/>
        <w:t>информационной системы, не подлежат применению, кроме того, Комиссия</w:t>
        <w:br/>
        <w:t>Управления отмечает, что сам факт приоритета информации, сформированной с</w:t>
        <w:br/>
        <w:t>использованием единой информационной системы, не может свидетельствовать о</w:t>
        <w:br/>
        <w:t>правомерности установления Заказчиком в извещении об осуществлении закупки,</w:t>
        <w:br/>
        <w:t>электронных документах извещения противоречивых, избыточных требований и</w:t>
        <w:br/>
        <w:t>положений.</w:t>
        <w:br/>
        <w:t>Таким образом, Комиссия Управления приходит к выводу о нарушении</w:t>
        <w:br/>
        <w:t>Заказчиком ч.3 ст.43, п.3 ч.2 ст.42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административных.</w:t>
        <w:br/>
        <w:t>2026-1626</w:t>
        <w:br/>
        <w:t>7</w:t>
        <w:br/>
        <w:t>Одновременно с этим Комиссией Управления установлено, что</w:t>
        <w:br/>
        <w:t>вышеуказанное нарушение не повлияло на результаты определения поставщика,</w:t>
        <w:br/>
        <w:t>(подрядчика, исполнителя), так как, согласно протоколу рассмотрения и оценки</w:t>
        <w:br/>
        <w:t>вторых частей заявок на участие в открытом конкурсе в электронной форме, на</w:t>
        <w:br/>
        <w:t>участие в закупке подано 7 заявок, при этом заявки участников закупки на</w:t>
        <w:br/>
        <w:t>основании неправомерных требований не отклонялись.</w:t>
        <w:br/>
        <w:t>2.В составе жалобы Заявитель указывает, что извещении об</w:t>
        <w:br/>
        <w:t>осуществлении закупки Заказчиком размещен электронный документ, содержащий</w:t>
        <w:br/>
        <w:t>обоснование начальной (максимальной) цены контракта.</w:t>
        <w:br/>
        <w:t>Согласно п.9 ч.1 ст.42 Закона о контрактной системе извещение об</w:t>
        <w:br/>
        <w:t>осуществлении закупки должно содержать информацию о начальной</w:t>
      </w:r>
    </w:p>
    <w:p>
      <w:r>
        <w:t>(максимальной) цене контракта (цена отдельных этапов исполнения контракта,</w:t>
        <w:br/>
        <w:t>если проектом контракта предусмотрены такие этапы), источнике финансирования,</w:t>
        <w:br/>
        <w:t>наименовании валюты в соответствии с общероссийским классификатором валют.</w:t>
        <w:br/>
        <w:t>В случае, предусмотренном ч.24 ст.22 Закона о контрактной системе, указываются</w:t>
        <w:br/>
        <w:t>начальная цена единицы товара, работы, услуги, а также начальная сумма цен</w:t>
        <w:br/>
        <w:t>указанных единиц и максимальное значение цены контракта. В случаях,</w:t>
        <w:br/>
        <w:t>установленных Правительством Российской Федерации в соответствии с ч.2 ст.34</w:t>
        <w:br/>
        <w:t>Закона о контрактной системе, указываются ориентировочное значение цены</w:t>
        <w:br/>
        <w:t>контракта либо формула цены и максимальное значение цены контракта.</w:t>
        <w:br/>
        <w:t>В силу п.2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электронный документ, содержащий обоснование</w:t>
        <w:br/>
        <w:t>начальной (максимальной) цены контракта. Заказчик, осуществляющий</w:t>
        <w:br/>
        <w:t>деятельность на территории иностранного государства, также указывает</w:t>
        <w:br/>
        <w:t>информацию о валюте, используемой для определения и обоснования начальной</w:t>
        <w:br/>
        <w:t>(максимальной) цены контракта, для оплаты поставленного товара, выполненной</w:t>
        <w:br/>
        <w:t>работы, оказанной услуги, и порядок применения официального курса</w:t>
        <w:br/>
        <w:t>иностранной валюты к рублю Российской Федерации, установленного</w:t>
        <w:br/>
        <w:t>Центральным банком Российской Федерации и используемого при оплате</w:t>
        <w:br/>
        <w:t>поставленного товара, выполненной работы, оказанной услуги.</w:t>
        <w:br/>
        <w:t>Комиссией Управления установлено, что, согласно извещению об</w:t>
        <w:br/>
        <w:t>осуществлении закупки, начальная (максимальная) цена контракта составляет</w:t>
        <w:br/>
        <w:t>14 400 000,00 руб., при этом документом, содержащим обоснование начальной</w:t>
        <w:br/>
        <w:t>(максимальной) цены контракта, является электронный документ «НМЦК Охрана</w:t>
        <w:br/>
        <w:t>ЧОП 2025 2», однако в данном электронном документе отсутствует обоснование</w:t>
        <w:br/>
        <w:t>начальной (максимальной) цены контракта.</w:t>
        <w:br/>
        <w:t>На основании вышеизложенного Комиссия Управления приходит к выводу,</w:t>
        <w:br/>
        <w:t>что в извещении об осуществлении закупки Заказчиком не опубликован</w:t>
        <w:br/>
        <w:t>электронный документ, содержащий обоснование начальной (максимальной) цены</w:t>
        <w:br/>
        <w:t>контракта.</w:t>
        <w:br/>
        <w:t>Таким образом, Комиссия Управления приходит к выводу о нарушении</w:t>
        <w:br/>
        <w:t>Заказчиком п.2 ч.2 ст.42 Закона о контрактной системе, что также свидетельствует о</w:t>
        <w:br/>
        <w:t>2026-1626</w:t>
        <w:br/>
        <w:t>8</w:t>
        <w:br/>
        <w:t>наличии в действиях Заказчика признаков состава административного</w:t>
        <w:br/>
        <w:t>правонарушения, ответственность за которое предусмотрена ч.5 ст.7.30.1 Кодекса</w:t>
        <w:br/>
        <w:t>Российской Федерации об административных.</w:t>
        <w:br/>
        <w:t>Одновременно с этим Комиссией Управления установлено, что</w:t>
      </w:r>
    </w:p>
    <w:p>
      <w:r>
        <w:t>вышеуказанное нарушение не повлияло на результаты определения поставщика,</w:t>
        <w:br/>
        <w:t>(подрядчика, исполнителя), так как, согласно протоколу подведения итогов, на</w:t>
        <w:br/>
        <w:t>участие в закупке подано 7 заявок.</w:t>
        <w:br/>
        <w:t>Исследовав представленные материалы, руководствуясь Законом о контрактной</w:t>
        <w:br/>
        <w:t>системе, Комиссия Управления,</w:t>
        <w:br/>
        <w:t>2026-1626</w:t>
        <w:br/>
        <w:t>9</w:t>
        <w:br/>
        <w:t>Р Е Ш И Л А:</w:t>
        <w:br/>
        <w:t>1.Признать жалобу ООО ЧОП «Викториал Секьюрити» на действия</w:t>
        <w:br/>
        <w:t>ФГБОУ ВО «Гос. ИРЯ им. А.С. Пушкина» обоснованной.</w:t>
        <w:br/>
        <w:t>2.Признать в действиях Заказчика нарушение п.2 ч.2 ст.42, ч.3 ст.43, п.3</w:t>
        <w:br/>
        <w:t>ч.2 ст.42 Закона о 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М.В. Сорбучева</w:t>
        <w:br/>
        <w:t>Исп. Матюшенко А.А., 8(495) 784-75-05</w:t>
        <w:br/>
        <w:t>2026-1626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