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202500187298001068</w:t>
      </w:r>
    </w:p>
    <w:p>
      <w:r>
        <w:rPr>
          <w:b/>
        </w:rPr>
        <w:t xml:space="preserve">УФАС: </w:t>
      </w:r>
      <w:r>
        <w:t>УФАС по Московской области</w:t>
      </w:r>
    </w:p>
    <w:p>
      <w:r>
        <w:rPr>
          <w:b/>
        </w:rPr>
        <w:t xml:space="preserve">Дата решения: </w:t>
      </w:r>
      <w:r>
        <w:t>07.03.2025</w:t>
      </w:r>
    </w:p>
    <w:p>
      <w:r>
        <w:rPr>
          <w:b/>
        </w:rPr>
        <w:t xml:space="preserve">Исход: </w:t>
      </w:r>
      <w:r>
        <w:t>обоснована</w:t>
      </w:r>
    </w:p>
    <w:p>
      <w:r>
        <w:rPr>
          <w:b/>
        </w:rPr>
        <w:t xml:space="preserve">Закупка №: </w:t>
      </w:r>
      <w:r>
        <w:t>0848600006625000003</w:t>
      </w:r>
    </w:p>
    <w:p>
      <w:r>
        <w:rPr>
          <w:b/>
        </w:rPr>
        <w:t xml:space="preserve">Заказчик: </w:t>
      </w:r>
      <w:r>
        <w:t>МКУ «Центр по организации закупок городского округа Дзержинский»</w:t>
      </w:r>
    </w:p>
    <w:p>
      <w:r>
        <w:rPr>
          <w:b/>
        </w:rPr>
        <w:t xml:space="preserve">Заявитель: </w:t>
      </w:r>
      <w:r>
        <w:t>ООО «Дорожная графика»</w:t>
      </w:r>
    </w:p>
    <w:p>
      <w:r>
        <w:rPr>
          <w:b/>
        </w:rPr>
        <w:t xml:space="preserve">Первоисточник в ЕИС: </w:t>
      </w:r>
      <w:r>
        <w:t>https://zakupki.gov.ru/epz/complaint/card/complaint-information.html?complaintNumber=202500187298001068</w:t>
      </w:r>
    </w:p>
    <w:p/>
    <w:p>
      <w:pPr>
        <w:pStyle w:val="Heading1"/>
      </w:pPr>
      <w:r>
        <w:t>Решение</w:t>
      </w:r>
    </w:p>
    <w:p>
      <w:pPr>
        <w:pStyle w:val="Heading2"/>
      </w:pPr>
      <w:r>
        <w:t>вводная часть</w:t>
      </w:r>
    </w:p>
    <w:p>
      <w:r>
        <w:t>Заказчик:</w:t>
      </w:r>
    </w:p>
    <w:p>
      <w:r>
        <w:t>Администрация Муниципального образования городского округа Дзержинский Московской области</w:t>
      </w:r>
    </w:p>
    <w:p>
      <w:r>
        <w:t>info@adm-dzer.ru</w:t>
      </w:r>
    </w:p>
    <w:p>
      <w:r>
        <w:t>Уполномоченное учреждение:</w:t>
      </w:r>
    </w:p>
    <w:p>
      <w:r>
        <w:t>Муниципальное казенное учреждение «Центр по организации закупок городского округа Дзержинский»</w:t>
      </w:r>
    </w:p>
    <w:p>
      <w:r>
        <w:t>9167932571@mail.ru</w:t>
      </w:r>
    </w:p>
    <w:p>
      <w:r>
        <w:t>Оператор электронной площадки:</w:t>
      </w:r>
    </w:p>
    <w:p>
      <w:r>
        <w:t>ЭТП «Фабрикант»</w:t>
      </w:r>
    </w:p>
    <w:p>
      <w:r>
        <w:t>info@fabrikant.ru</w:t>
      </w:r>
    </w:p>
    <w:p>
      <w:r>
        <w:t>Заявитель:</w:t>
      </w:r>
    </w:p>
    <w:p>
      <w:r>
        <w:t>ООО «Дорожная графика»</w:t>
      </w:r>
    </w:p>
    <w:p>
      <w:r>
        <w:t>ooodg@mail.ru</w:t>
      </w:r>
    </w:p>
    <w:p>
      <w:r>
        <w:t>РЕШЕНИЕ</w:t>
      </w:r>
    </w:p>
    <w:p>
      <w:r>
        <w:t>по делу № 050/06/105-7022/2025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10.03.2025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«Дорожная графика» (далее – Заявитель) на действия (бездействие) Администрации Муниципального образования «Городской округ Дзержинский Московской области» (далее - Заказчик), Муниципального казенного учреждения «Центр по организации закупок городского округа Дзержинский» (далее – Уполномоченное учреждение) при определении поставщика (подрядчика, исполнителя) путем проведения ЭТП «Фабрикант» (далее - Оператор электронной площадки) открытого конкурса в электронной форме на выполнение работ по текущему ремонту Выполнения работ по текущему ремонту: ямочный ремонт асфальтового покрытия дворовых территорий и внутриквартальных проездов в городском округе Дзержинский Московской области в 2025 году (извещение № 0848600006625000003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(бездействие) Конкурсной комиссии при проведении Заказчиком, Уполномоченным учреждением, Оператором электронной площадки Конкурса.</w:t>
      </w:r>
    </w:p>
    <w:p>
      <w:r>
        <w:t>По мнению Заявителя, его права и законные интересы нарушены действиями Конкурсной комиссии в части ненадлежащего рассмотрения заявок участников закупки.</w:t>
      </w:r>
    </w:p>
    <w:p>
      <w:r>
        <w:t>В соответствии с извещением об осуществлении закупки, протоколами, составленными при определении поставщика (подрядчика, исполнителя):</w:t>
      </w:r>
    </w:p>
    <w:p>
      <w:r>
        <w:t>1) извещение о проведении Конкурса размещено – 05.02.2025;</w:t>
      </w:r>
    </w:p>
    <w:p>
      <w:r>
        <w:t>2) начальная (максимальная) цена контракта – 2 275 000,00 руб.;</w:t>
      </w:r>
    </w:p>
    <w:p>
      <w:r>
        <w:t>3) дата окончания подачи заявок – 21.02.2025;</w:t>
      </w:r>
    </w:p>
    <w:p>
      <w:r>
        <w:t>4) на участие в Конкурсе поданы 2 заявки от участников закупки, признанные соответствующими требованиям извещения о проведении Конкурса.</w:t>
      </w:r>
    </w:p>
    <w:p>
      <w:r>
        <w:t>1. Согласно доводу жалобы Заявителя, Конкурсной комиссией ненадлежащим образом рассмотрены и приняты к оценке документы и сведения, представленные в составе заявок участников закупки.</w:t>
      </w:r>
    </w:p>
    <w:p>
      <w:r>
        <w:t>В соответствии с частью 11 статьи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статьи 48 Закона о контрактной системе,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
        <w:t>5) непредставления информации и документов, предусмотренных пунктом 5 части 1 статьи 43 Законом о контрактной системе, если такие документы предусмотрены нормативными правовыми актами, принятыми в соответствии с частью 3 статьи 14 Законом о контрактной системе (в случае установления в соответствии со статьей 14 Законом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Закона о контрактной системе.</w:t>
      </w:r>
    </w:p>
    <w:p>
      <w:r>
        <w:t>В соответствии с частью 13 статьи 48 Закона о контрактной системе установлено, что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Закона о контрактной системе,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Закона о контрактной системе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Закона о контрактной системе.</w:t>
      </w:r>
    </w:p>
    <w:p>
      <w:r>
        <w:t>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критерии оценки заявок на участие в конкурсах, величины значимости этих критериев в соответствии с настоящим Федеральным законом.</w:t>
      </w:r>
    </w:p>
    <w:p>
      <w:r>
        <w:t>Пунктом 4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в том числе порядок рассмотрения и оценки заявок на участие в конкурсах в соответствии с настоящим Федеральным законом.</w:t>
      </w:r>
    </w:p>
    <w:p>
      <w:r>
        <w:t>В соответствии с частью 1 статьи 32 Закона о контрактной системе для оценки заявок участников закупки заказчик использует следующие критерии: 1) цена контракта, сумма цен единиц товара, работы, услуги; 2) расходы на эксплуатацию и ремонт товаров, использование результатов работ; 3) качественные, функциональные и экологические характеристики объекта закупки; 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Согласно части 8 статьи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
        <w:t>Согласно пункту 2 Положения "оценка заявок" - это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соответствии с пунктом 20 Положения,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законом оценке по критерию оценки "характеристики объекта закупки" (БХi), рассчитывается по одной из следующих формул:</w:t>
      </w:r>
    </w:p>
    <w:p>
      <w:r>
        <w:t>Б) в случае, если лучшим является наибольшее значение характеристики объекта закупки, - по формуле:</w:t>
      </w:r>
    </w:p>
    <w:p>
      <w:r>
        <w:t>где:</w:t>
      </w:r>
    </w:p>
    <w:p>
      <w:r>
        <w:t>Хmax - максимальное значение, содержащееся в заявках (частях заявок), подлежащих в соответствии с Федеральным законом N 44-ФЗ оценке по критерию оценки "квалификация участников закупки ";</w:t>
      </w:r>
    </w:p>
    <w:p>
      <w:r>
        <w:t>Хi - значение, содержащееся в предложении участника закупки, заявка (часть заявки) которого подлежит в соответствии с Федеральным законом N 44-ФЗ оценке по критерию оценки "квалификация участников закупки ";</w:t>
      </w:r>
    </w:p>
    <w:p>
      <w:r>
        <w:t>Хmin - минимальное значение, содержащееся в заявках (частях заявок), подлежащих в соответствии с Федеральным законом N 44-ФЗ оценке по критерию оценки "квалификация участников закупки".</w:t>
      </w:r>
    </w:p>
    <w:p>
      <w:r>
        <w:t>Согласно пункту 24 Положения установлено, что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пункту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пунктом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Согласно извещению о проведении Конкурса объектом закупки является выполнение работ по ремонту дворовых территорий в городском округе Дзержинский Московской области в 2025 году.</w:t>
      </w:r>
    </w:p>
    <w:p>
      <w:r>
        <w:t>В соответствии с протоколом рассмотрения и оценки вторых частей заявок на участие в открытом конкурсе в электронной форме от 25.02.2025 №ПРОII1 по нестоимостному критерию «Квалификация участников закупки» заявке участника с порядковым номером «2» (далее - Победитель) присвоено 40 баллов и установлено в том числе следующее:</w:t>
      </w:r>
    </w:p>
    <w:p>
      <w:r>
        <w:t>Оценка заявки №2</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w:t>
            </w:r>
          </w:p>
        </w:tc>
        <w:tc>
          <w:tcPr>
            <w:tcW w:type="dxa" w:w="1728"/>
          </w:tcPr>
          <w:p>
            <w:r>
              <w:t>Критерии оценки</w:t>
            </w:r>
          </w:p>
        </w:tc>
        <w:tc>
          <w:tcPr>
            <w:tcW w:type="dxa" w:w="1728"/>
          </w:tcPr>
          <w:p>
            <w:r>
              <w:t>Коэффициент значимости</w:t>
            </w:r>
          </w:p>
        </w:tc>
        <w:tc>
          <w:tcPr>
            <w:tcW w:type="dxa" w:w="1728"/>
          </w:tcPr>
          <w:p>
            <w:r>
              <w:t>Предложение участника</w:t>
            </w:r>
          </w:p>
        </w:tc>
        <w:tc>
          <w:tcPr>
            <w:tcW w:type="dxa" w:w="1728"/>
          </w:tcPr>
          <w:p>
            <w:r>
              <w:t>Оценка с учетом значимости</w:t>
            </w:r>
          </w:p>
        </w:tc>
      </w:tr>
      <w:tr>
        <w:tc>
          <w:tcPr>
            <w:tcW w:type="dxa" w:w="1728"/>
          </w:tcPr>
          <w:p>
            <w:r>
              <w:t>1</w:t>
            </w:r>
          </w:p>
        </w:tc>
        <w:tc>
          <w:tcPr>
            <w:tcW w:type="dxa" w:w="1728"/>
          </w:tcPr>
          <w:p>
            <w:r>
              <w:t>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1728"/>
          </w:tcPr>
          <w:p>
            <w:r>
              <w:t>40.00</w:t>
            </w:r>
          </w:p>
        </w:tc>
        <w:tc>
          <w:tcPr>
            <w:tcW w:type="dxa" w:w="1728"/>
          </w:tcPr>
          <w:p>
            <w:r/>
          </w:p>
        </w:tc>
        <w:tc>
          <w:tcPr>
            <w:tcW w:type="dxa" w:w="1728"/>
          </w:tcPr>
          <w:p>
            <w:r>
              <w:t>40.00</w:t>
            </w:r>
          </w:p>
        </w:tc>
      </w:tr>
      <w:tr>
        <w:tc>
          <w:tcPr>
            <w:tcW w:type="dxa" w:w="1728"/>
          </w:tcPr>
          <w:p>
            <w:r>
              <w:t>1.1</w:t>
            </w:r>
          </w:p>
        </w:tc>
        <w:tc>
          <w:tcPr>
            <w:tcW w:type="dxa" w:w="1728"/>
          </w:tcPr>
          <w:p>
            <w:r>
              <w:t>Наличие у участников закупки опыта поставки товара, выполнения работы, оказания услуги, связанного с предметом контракта</w:t>
            </w:r>
          </w:p>
        </w:tc>
        <w:tc>
          <w:tcPr>
            <w:tcW w:type="dxa" w:w="1728"/>
          </w:tcPr>
          <w:p>
            <w:r>
              <w:t>100.00</w:t>
            </w:r>
          </w:p>
        </w:tc>
        <w:tc>
          <w:tcPr>
            <w:tcW w:type="dxa" w:w="1728"/>
          </w:tcPr>
          <w:p>
            <w:r>
              <w:t>100.00</w:t>
            </w:r>
          </w:p>
        </w:tc>
        <w:tc>
          <w:tcPr>
            <w:tcW w:type="dxa" w:w="1728"/>
          </w:tcPr>
          <w:p>
            <w:r>
              <w:t>100.00</w:t>
            </w:r>
          </w:p>
        </w:tc>
      </w:tr>
      <w:tr>
        <w:tc>
          <w:tcPr>
            <w:tcW w:type="dxa" w:w="1728"/>
          </w:tcPr>
          <w:p>
            <w:r>
              <w:t>1.1.1</w:t>
            </w:r>
          </w:p>
        </w:tc>
        <w:tc>
          <w:tcPr>
            <w:tcW w:type="dxa" w:w="1728"/>
          </w:tcPr>
          <w:p>
            <w:r>
              <w:t>Общая цена исполненных участником закупки договоров</w:t>
            </w:r>
          </w:p>
        </w:tc>
        <w:tc>
          <w:tcPr>
            <w:tcW w:type="dxa" w:w="1728"/>
          </w:tcPr>
          <w:p>
            <w:r>
              <w:t>100.00</w:t>
            </w:r>
          </w:p>
        </w:tc>
        <w:tc>
          <w:tcPr>
            <w:tcW w:type="dxa" w:w="1728"/>
          </w:tcPr>
          <w:p>
            <w:r>
              <w:t>716491265.4700</w:t>
            </w:r>
          </w:p>
        </w:tc>
        <w:tc>
          <w:tcPr>
            <w:tcW w:type="dxa" w:w="1728"/>
          </w:tcPr>
          <w:p>
            <w:r>
              <w:t>100.00</w:t>
            </w:r>
          </w:p>
        </w:tc>
      </w:tr>
    </w:tbl>
    <w:p>
      <w:r>
        <w:t>Заказчиком в критериях оценки заявок по детализирующим показателю «Общая цена исполненных участником закупки договоров» по показателю «наличие у участников закупки опыта работы, связанного с предметом контракта» в рамках критерия «Квалификация участников закупки» установлено в том числе следующее:</w:t>
      </w:r>
    </w:p>
    <w:p>
      <w:r>
        <w:t>Оценка заявок осуществляется по формуле, предусмотренным подпунктом «б» пункта 20 Положения:</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 ";</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"квалификация участников закупки ";</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Вместе с тем, в порядке оценки заявок по детализирующему показателю «Общая цена исполненных участником закупки договоров» показателя «Наличие у участников закупки опыта работы, связанного с предметом контракта» в рамках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Заказчиком установлено в том числе следующее:</w:t>
      </w:r>
    </w:p>
    <w:p>
      <w:r>
        <w:t>«Подпункт «а» пункта 28 Положения</w:t>
      </w:r>
    </w:p>
    <w:p>
      <w:r>
        <w:t>Лучшим является наибольшее значение детализирующего показателя.</w:t>
      </w:r>
    </w:p>
    <w:p>
      <w:r>
        <w:t>Оценивается общая цена исполненных участником закупки договоров (исчисляемая в рублях).</w:t>
      </w:r>
    </w:p>
    <w:p>
      <w:r>
        <w:t>Предметом договора (договоров), оцениваемого по детализирующему показателю, является выполнение работ по ремонту, содержанию, капитальному ремонту, строительству, реконструкции автомобильной дороги.</w:t>
      </w:r>
    </w:p>
    <w:p>
      <w:r>
        <w:t>Каждый контракт/договор должен быть исполнен участником закупки в полном объеме в соответствии с условиями, установленными в таком контракте/договоре.</w:t>
      </w:r>
    </w:p>
    <w:p>
      <w:r>
        <w:t>Перечень документов, подтверждающих наличие у участника закупки опыта выполнения работы, связанного с предметом контракта:</w:t>
      </w:r>
    </w:p>
    <w:p>
      <w:r>
        <w:t>- исполненный контракт (контракты)/договор (договоры), заключенные и исполненные в соответствии с Федеральным законом №44-ФЗ, Федеральным законом №223-ФЗ и иные договоры гражданско-правового характера</w:t>
      </w:r>
    </w:p>
    <w:p>
      <w:r>
        <w:t>- акт (акты) приемки выполненных работ, составленные при исполнении такого контракта (контрактов)/договора (договоров).</w:t>
      </w:r>
    </w:p>
    <w:p>
      <w:r>
        <w:t>Последний акт, составленный при исполнении контракта (контрактов)/договора (договоров), должен быть подписан не ранее чем за 5 лет до даты окончания срока подачи заявок.</w:t>
      </w:r>
    </w:p>
    <w:p>
      <w:r>
        <w:t>К оценке принимаются исполненные участником закупки с учетом правопреемства (в случае наличия в заявке подтверждающего документа) контракты (договоры)».</w:t>
      </w:r>
    </w:p>
    <w:p>
      <w:r>
        <w:t>Комиссией установлено, что в составе заявки Победителя по детализирующему показателю «Общая цена исполненных участником закупки договоров» в рамках показателя «Наличие у участников закупки опыта работы, связанного с предметом контракта» представлены контракты и договоры на сумму 1 143 346 997,41 рублей, из которых Конкурсной комиссией приняты к оценке контракты на сумму 716 491 265,47 рублей, в том числе следующие:</w:t>
      </w:r>
    </w:p>
    <w:p>
      <w:r>
        <w:t>- договор от 10.08.2020 № 5007/19/Жав-03/22суб на выполнение подрядных работ по обустройству откосов, бордюров, брусчатки и газонов (далее - «Работы»), при строительстве Объекта: «Путепровод на пересечении 1-й Советской улицы с железнодорожными путями Белорусского направления Московской железной дороги вблизи железнодорожной платформы, заключенный с ООО «Мианстрой», на сумму 97 906 366,00 руб;</w:t>
      </w:r>
    </w:p>
    <w:p>
      <w:r>
        <w:t>- договор от 11.02.2022 № СПМПК-2-110122Б/М-1 на выполнение работ по строительству автомобильных дорог, благоустройству территории, озеленению на объекте «Комплекс по обработке и утилизации твердых коммунальных отходов на территории Сергиево-Посадского городского округа Московской области», заключенный с ООО «Мианстрой», на сумму 241 421 410,52 руб..</w:t>
      </w:r>
    </w:p>
    <w:p>
      <w:r>
        <w:t>Изучив заявку Победителя, представленную на заседание Комиссии Оператором электронной площадки, Комиссией установлено, что контракты и договоры, представленные Победителем в составе заявки, не соответствуют установленному Заказчиком порядку рассмотрения и оценки заявок, а именно предмету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pPr>
        <w:pStyle w:val="Heading2"/>
      </w:pPr>
      <w:r>
        <w:t>мотивировочная часть</w:t>
      </w:r>
    </w:p>
    <w:p>
      <w:r>
        <w:t>Таким образом, Комиссия приходит к выводу, что действия Конкурсной комиссии в части принятия к оценке контрактов и договоров, представленных в составе заявки Победителя, противоречат установленному Заказчиком порядку оценки заявок и требованиям Закона о контрактной системе.</w:t>
      </w:r>
    </w:p>
    <w:p>
      <w:r>
        <w:t>На основании изложенного, действия Конкурсной комиссии нарушают пункт 1 части 11 статьи 48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2. Согласно доводу жалобы Заявителя, Конкурсной комиссией ненадлежащим образом рассмотрены и приняты к оценке документы и сведения, представленные в составе заявки Заявителя.</w:t>
      </w:r>
    </w:p>
    <w:p>
      <w:r>
        <w:t>Согласно извещению о проведении Конкурса объектом закупки является выполнение работ по ремонту дворовых территорий в городском округе Дзержинский Московской области в 2025 году.</w:t>
      </w:r>
    </w:p>
    <w:p>
      <w:r>
        <w:t>В соответствии с протоколом рассмотрения и оценки вторых частей заявок на участие в открытом конкурсе в электронной форме от 25.02.2025 №ПРОII1 по нестоимостному критерию «Квалификация участников закупки» заявке Заявителя с порядковым номером «4» присвоено 0 баллов и установлено в том числе следующее:</w:t>
      </w:r>
    </w:p>
    <w:p>
      <w:r>
        <w:t>Оценка заявки № 4</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w:t>
            </w:r>
          </w:p>
        </w:tc>
        <w:tc>
          <w:tcPr>
            <w:tcW w:type="dxa" w:w="1728"/>
          </w:tcPr>
          <w:p>
            <w:r>
              <w:t>Критерии оценки</w:t>
            </w:r>
          </w:p>
        </w:tc>
        <w:tc>
          <w:tcPr>
            <w:tcW w:type="dxa" w:w="1728"/>
          </w:tcPr>
          <w:p>
            <w:r>
              <w:t>Коэффициент значимости</w:t>
            </w:r>
          </w:p>
        </w:tc>
        <w:tc>
          <w:tcPr>
            <w:tcW w:type="dxa" w:w="1728"/>
          </w:tcPr>
          <w:p>
            <w:r>
              <w:t>Предложение участника</w:t>
            </w:r>
          </w:p>
        </w:tc>
        <w:tc>
          <w:tcPr>
            <w:tcW w:type="dxa" w:w="1728"/>
          </w:tcPr>
          <w:p>
            <w:r>
              <w:t>Оценка с учетом значимости</w:t>
            </w:r>
          </w:p>
        </w:tc>
      </w:tr>
      <w:tr>
        <w:tc>
          <w:tcPr>
            <w:tcW w:type="dxa" w:w="1728"/>
          </w:tcPr>
          <w:p>
            <w:r>
              <w:t>1</w:t>
            </w:r>
          </w:p>
        </w:tc>
        <w:tc>
          <w:tcPr>
            <w:tcW w:type="dxa" w:w="1728"/>
          </w:tcPr>
          <w:p>
            <w:r>
              <w:t>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1728"/>
          </w:tcPr>
          <w:p>
            <w:r>
              <w:t>40.00</w:t>
            </w:r>
          </w:p>
        </w:tc>
        <w:tc>
          <w:tcPr>
            <w:tcW w:type="dxa" w:w="1728"/>
          </w:tcPr>
          <w:p>
            <w:r/>
          </w:p>
        </w:tc>
        <w:tc>
          <w:tcPr>
            <w:tcW w:type="dxa" w:w="1728"/>
          </w:tcPr>
          <w:p>
            <w:r>
              <w:t>0.00</w:t>
            </w:r>
          </w:p>
        </w:tc>
      </w:tr>
      <w:tr>
        <w:tc>
          <w:tcPr>
            <w:tcW w:type="dxa" w:w="1728"/>
          </w:tcPr>
          <w:p>
            <w:r>
              <w:t>1.1</w:t>
            </w:r>
          </w:p>
        </w:tc>
        <w:tc>
          <w:tcPr>
            <w:tcW w:type="dxa" w:w="1728"/>
          </w:tcPr>
          <w:p>
            <w:r>
              <w:t>Наличие у участников закупки опыта поставки товара, выполнения работы, оказания услуги, связанного с предметом контракта</w:t>
            </w:r>
          </w:p>
        </w:tc>
        <w:tc>
          <w:tcPr>
            <w:tcW w:type="dxa" w:w="1728"/>
          </w:tcPr>
          <w:p>
            <w:r>
              <w:t>100.00</w:t>
            </w:r>
          </w:p>
        </w:tc>
        <w:tc>
          <w:tcPr>
            <w:tcW w:type="dxa" w:w="1728"/>
          </w:tcPr>
          <w:p>
            <w:r/>
          </w:p>
        </w:tc>
        <w:tc>
          <w:tcPr>
            <w:tcW w:type="dxa" w:w="1728"/>
          </w:tcPr>
          <w:p>
            <w:r>
              <w:t>0.00</w:t>
            </w:r>
          </w:p>
        </w:tc>
      </w:tr>
      <w:tr>
        <w:tc>
          <w:tcPr>
            <w:tcW w:type="dxa" w:w="1728"/>
          </w:tcPr>
          <w:p>
            <w:r>
              <w:t>1.1.1</w:t>
            </w:r>
          </w:p>
        </w:tc>
        <w:tc>
          <w:tcPr>
            <w:tcW w:type="dxa" w:w="1728"/>
          </w:tcPr>
          <w:p>
            <w:r>
              <w:t>Общая цена исполненных участником закупки договоров</w:t>
            </w:r>
          </w:p>
        </w:tc>
        <w:tc>
          <w:tcPr>
            <w:tcW w:type="dxa" w:w="1728"/>
          </w:tcPr>
          <w:p>
            <w:r>
              <w:t>100.00</w:t>
            </w:r>
          </w:p>
        </w:tc>
        <w:tc>
          <w:tcPr>
            <w:tcW w:type="dxa" w:w="1728"/>
          </w:tcPr>
          <w:p>
            <w:r>
              <w:t>52459909.0000</w:t>
            </w:r>
          </w:p>
        </w:tc>
        <w:tc>
          <w:tcPr>
            <w:tcW w:type="dxa" w:w="1728"/>
          </w:tcPr>
          <w:p>
            <w:r>
              <w:t>0.00</w:t>
            </w:r>
          </w:p>
        </w:tc>
      </w:tr>
    </w:tbl>
    <w:p>
      <w:r>
        <w:t>Заказчиком в критериях оценки заявок по детализирующим показателю «Общая цена исполненных участником закупки договоров» по показателю «наличие у участников закупки опыта работы, связанного с предметом контракта» в рамках критерия «Квалификация участников закупки» установлено в том числе следующее:</w:t>
      </w:r>
    </w:p>
    <w:p>
      <w:r>
        <w:t>Оценка заявок осуществляется по формуле, предусмотренным подпунктом «б» пункта 20 Положения:</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 ";</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"квалификация участников закупки ";</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Вместе с тем, в порядке оценки заявок по детализирующему показателю «Общая цена исполненных участником закупки договоров» показателя «Наличие у участников закупки опыта работы, связанного с предметом контракта» в рамках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Заказчиком установлено в том числе следующее:</w:t>
      </w:r>
    </w:p>
    <w:p>
      <w:r>
        <w:t>«Подпункт «а» пункта 28 Положения</w:t>
      </w:r>
    </w:p>
    <w:p>
      <w:r>
        <w:t>Лучшим является наибольшее значение детализирующего показателя.</w:t>
      </w:r>
    </w:p>
    <w:p>
      <w:r>
        <w:t>Оценивается общая цена исполненных участником закупки договоров (исчисляемая в рублях).</w:t>
      </w:r>
    </w:p>
    <w:p>
      <w:r>
        <w:t>Предметом договора (договоров), оцениваемого по детализирующему показателю, является выполнение работ по ремонту, содержанию, капитальному ремонту, строительству, реконструкции автомобильной дороги.</w:t>
      </w:r>
    </w:p>
    <w:p>
      <w:r>
        <w:t>Каждый контракт/договор должен быть исполнен участником закупки в полном объеме в соответствии с условиями, установленными в таком контракте/договоре.</w:t>
      </w:r>
    </w:p>
    <w:p>
      <w:r>
        <w:t>Перечень документов, подтверждающих наличие у участника закупки опыта выполнения работы, связанного с предметом контракта:</w:t>
      </w:r>
    </w:p>
    <w:p>
      <w:r>
        <w:t>- исполненный контракт (контракты)/договор (договоры), заключенные и исполненные в соответствии с Федеральным законом №44-ФЗ, Федеральным законом №223-ФЗ и иные договоры гражданско-правового характера</w:t>
      </w:r>
    </w:p>
    <w:p>
      <w:r>
        <w:t>- акт (акты) приемки выполненных работ, составленные при исполнении такого контракта (контрактов)/договора (договоров).</w:t>
      </w:r>
    </w:p>
    <w:p>
      <w:r>
        <w:t>Последний акт, составленный при исполнении контракта (контрактов)/договора (договоров), должен быть подписан не ранее чем за 5 лет до даты окончания срока подачи заявок.</w:t>
      </w:r>
    </w:p>
    <w:p>
      <w:r>
        <w:t>К оценке принимаются исполненные участником закупки с учетом правопреемства (в случае наличия в заявке подтверждающего документа) контракты (договоры)».</w:t>
      </w:r>
    </w:p>
    <w:p>
      <w:r>
        <w:t>Комиссией установлено, что в составе заявки Заявителя по детализирующему показателю «Общая цена исполненных участником закупки договоров» в рамках показателя «Наличие у участников закупки опыта работы, связанного с предметом контракта» представлены контракты и договоры на сумму 523 880 645,55 рублей, из которых Конкурсной комиссией не приняты к оценке контракты на сумму 471 420 737 рублей, в том числе:</w:t>
      </w:r>
    </w:p>
    <w:p>
      <w:r>
        <w:t>- контракт от 05.11.2024 № 3502723318524000114 на выполнение работ по текущему ремонту Выполнение работ по ремонту тротуаров на территории г.о. Люберцы, д.п. Красково, д. Марусино (ЖК "Малое Павлино"), заключенный с МУ «Объединенный комбинат благоустройства и жилищно-коммунального хозяйства», на сумму 17 014 657,43 руб;</w:t>
      </w:r>
    </w:p>
    <w:p>
      <w:r>
        <w:t>Изучив заявку Заявителя, представленную на заседание Комиссии Оператором электронной площадки, Комиссией установлено, что действия Заказчика в части непринятие к оценке указанного договора, противоречат установленному Заказчиком порядку оценки заявок и требованиям Закона о контрактной системе.</w:t>
      </w:r>
    </w:p>
    <w:p>
      <w:r>
        <w:t>На основании изложенного, действия Конкурсной комиссии нарушают пункт 1 части 11 статьи 48 Закона о контрактной системе и содержат признаки состава административного правонарушения, предусмотренного частью 2 статьи 7.30 Кодекса Российской Федерации об административных правонарушениях.</w:t>
      </w:r>
    </w:p>
    <w:p>
      <w:r>
        <w:t>Следовательно, довод жалобы Заявителя является обоснованным.</w:t>
      </w:r>
    </w:p>
    <w:p>
      <w:r>
        <w:t>3. Согласно доводу жалобы Заявителя, Заказчиком ненадлежащим образом установлено Описание объекта закупки.</w:t>
      </w:r>
    </w:p>
    <w:p>
      <w:r>
        <w:t>В соответствии с пунктом 1 части 2 статьи 105 Закона о контрактной системе подача участником закупки жалобы на действия (бездействие) субъекта (субъектов) контроля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
        <w:t>Согласно извещению о проведении Конкурса датой окончания срока подачи заявок на участие в Конкурсе является 21.02.2025.</w:t>
      </w:r>
    </w:p>
    <w:p>
      <w:r>
        <w:t>Вместе с тем, жалоба Заявителя размещена на Официальном сайте 03.03.2025.</w:t>
      </w:r>
    </w:p>
    <w:p>
      <w:r>
        <w:t>На основании изложенного, в соответствии с частью 2 статьи 105 Закона о контрактной системе доводы жалобы Заявителя на положения извещения о проведении Конкурса Комиссией не подлежит рассмотрению.</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«Дорожная графика» обоснованной.</w:t>
      </w:r>
    </w:p>
    <w:p>
      <w:r>
        <w:t>Признать в действиях Конкурсной комиссии нарушение пункта 1 части 11 статьи 48 Закона о контрактной системе.</w:t>
      </w:r>
    </w:p>
    <w:p>
      <w:r>
        <w:t>3. Заказчику, Уполномоченным учреждением,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4. Материалы дела от 10.03.2025 № 050/06/105-7022/2025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 Настоящее решение может быть обжаловано в суде, арбитражном суде в течение трех месяцев в установленном законом порядке.</w:t>
      </w:r>
    </w:p>
    <w:p>
      <w:r>
        <w:t>15</w:t>
      </w:r>
    </w:p>
    <w:p>
      <w:pPr>
        <w:pStyle w:val="Heading1"/>
      </w:pPr>
      <w:r>
        <w:t>Предписание</w:t>
      </w:r>
    </w:p>
    <w:p>
      <w:pPr>
        <w:pStyle w:val="Heading2"/>
      </w:pPr>
      <w:r>
        <w:t>вводная часть</w:t>
      </w:r>
    </w:p>
    <w:p>
      <w:r>
        <w:t>Заказчик:</w:t>
      </w:r>
    </w:p>
    <w:p>
      <w:r>
        <w:t>Администрация Муниципального образования городского округа Дзержинский Московской области</w:t>
      </w:r>
    </w:p>
    <w:p>
      <w:r>
        <w:t>info@adm-dzer.ru</w:t>
      </w:r>
    </w:p>
    <w:p>
      <w:r>
        <w:t>Уполномоченное учреждение:</w:t>
      </w:r>
    </w:p>
    <w:p>
      <w:r>
        <w:t>Муниципальное казенное учреждение «Центр по организации закупок городского округа Дзержинский»</w:t>
      </w:r>
    </w:p>
    <w:p>
      <w:r>
        <w:t>9167932571@mail.ru</w:t>
      </w:r>
    </w:p>
    <w:p>
      <w:r>
        <w:t>Оператор электронной площадки:</w:t>
      </w:r>
    </w:p>
    <w:p>
      <w:r>
        <w:t>ЭТП «Фабрикант»</w:t>
      </w:r>
    </w:p>
    <w:p>
      <w:r>
        <w:t>info@fabrikant.ru</w:t>
      </w:r>
    </w:p>
    <w:p>
      <w:r>
        <w:t>Заявитель:</w:t>
      </w:r>
    </w:p>
    <w:p>
      <w:r>
        <w:t>ООО «Дорожная графика»</w:t>
      </w:r>
    </w:p>
    <w:p>
      <w:r>
        <w:t>ooodg@mail.ru</w:t>
      </w:r>
    </w:p>
    <w:p>
      <w:r>
        <w:t>ПРЕДПИСАНИЕ</w:t>
      </w:r>
    </w:p>
    <w:p>
      <w:r>
        <w:t>по делу № 050/06/105-7022/2025 об устранении нарушений законодательства Российской Федерации о контрактной системе в сфере закупок</w:t>
      </w:r>
    </w:p>
    <w:p>
      <w:r>
        <w:t>10.03.2025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10.03.2025 № 050/06/105-7022/2025, принятого Комиссией по итогам рассмотрения жалобы ООО «Дорожная графика» (далее – Заявитель) на действия (бездействие) Администрации Муниципального образования «Городской округ Дзержинский Московской области» (далее - Заказчик), Муниципального казенного учреждения «Центр по организации закупок городского округа Дзержинский» (далее – Уполномоченное учреждение) при определении поставщика (подрядчика, исполнителя) путем проведения ЭТП «Фабрикант» (далее - Оператор электронной площадки) открытого конкурса в электронной форме на выполнение работ по текущему ремонту Выполнения работ по текущему ремонту: ямочный ремонт асфальтового покрытия дворовых территорий и внутриквартальных проездов в городском округе Дзержинский Московской области в 2025 году (извещение № 0848600006625000003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2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Заказчику, Уполномоченному учреждению в срок 3 рабочих дня с момента получения настоящего Предписания (в том числе посредством электронной почты):</w:t>
      </w:r>
    </w:p>
    <w:p>
      <w:r>
        <w:t>отменить протоколы рассмотрения и оценки вторых частей заявок на участие в Конкурсе;</w:t>
      </w:r>
    </w:p>
    <w:p>
      <w:r>
        <w:t>отменить протоколы подведения итогов Конкурса, составленные в ходе проведения Конкурса;</w:t>
      </w:r>
    </w:p>
    <w:p>
      <w:r>
        <w:t>Конкурсной комиссии в срок 5 рабочих дня с момента получения настоящего Предписания:</w:t>
      </w:r>
    </w:p>
    <w:p>
      <w:r>
        <w:t>провести процедуру рассмотрения вторых частей заявок на участие в Конкурсе в соответствии с решением 10.03.2025 № 050/06/105-7022/2025 в соответствии с требованиями Закона о контрактной системе;</w:t>
      </w:r>
    </w:p>
    <w:p>
      <w:r>
        <w:t>опубликовать надлежащим образом оформленные протоколы в соответствии с решением от 10.03.2025 № 050/06/105-7022/2025 и в соответствии с требованиями Закона о контрактной системе.</w:t>
      </w:r>
    </w:p>
    <w:p>
      <w:r>
        <w:t>Заказчику,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10.03.2025 № 050/06/105-7022/2025.</w:t>
      </w:r>
    </w:p>
    <w:p>
      <w:r>
        <w:t>Оператору электронной площадки обеспечить возможность исполнения пунктов 1 – 3 настоящего предписания.</w:t>
      </w:r>
    </w:p>
    <w:p>
      <w:r>
        <w:t>Заказчику в срок до 24.03.2025 представить в Управление подтверждение исполнения настоящего предписания в письменном виде, а также по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