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202500187298001182</w:t>
      </w:r>
    </w:p>
    <w:p>
      <w:r>
        <w:rPr>
          <w:b/>
        </w:rPr>
        <w:t xml:space="preserve">УФАС: </w:t>
      </w:r>
      <w:r>
        <w:t>УФАС по Московской области</w:t>
      </w:r>
    </w:p>
    <w:p>
      <w:r>
        <w:rPr>
          <w:b/>
        </w:rPr>
        <w:t xml:space="preserve">Дата решения: </w:t>
      </w:r>
      <w:r>
        <w:t>13.03.2025</w:t>
      </w:r>
    </w:p>
    <w:p>
      <w:r>
        <w:rPr>
          <w:b/>
        </w:rPr>
        <w:t xml:space="preserve">Исход: </w:t>
      </w:r>
      <w:r>
        <w:t>обоснована</w:t>
      </w:r>
    </w:p>
    <w:p>
      <w:r>
        <w:rPr>
          <w:b/>
        </w:rPr>
        <w:t xml:space="preserve">Закупка №: </w:t>
      </w:r>
      <w:r>
        <w:t>0348100099625000006</w:t>
      </w:r>
    </w:p>
    <w:p>
      <w:r>
        <w:rPr>
          <w:b/>
        </w:rPr>
        <w:t xml:space="preserve">Заказчик: </w:t>
      </w:r>
      <w:r>
        <w:t>Федеральное бюджетное лечебно-профилактическое учреждение «Лечебно-реабилитационный центр »Подмосковье« федеральной налоговой службы»</w:t>
      </w:r>
    </w:p>
    <w:p>
      <w:r>
        <w:rPr>
          <w:b/>
        </w:rPr>
        <w:t xml:space="preserve">Заявитель: </w:t>
      </w:r>
      <w:r>
        <w:t>ООО «АНИКА»</w:t>
      </w:r>
    </w:p>
    <w:p>
      <w:r>
        <w:rPr>
          <w:b/>
        </w:rPr>
        <w:t xml:space="preserve">Первоисточник в ЕИС: </w:t>
      </w:r>
      <w:r>
        <w:t>https://zakupki.gov.ru/epz/complaint/card/complaint-information.html?complaintNumber=202500187298001182</w:t>
      </w:r>
    </w:p>
    <w:p/>
    <w:p>
      <w:pPr>
        <w:pStyle w:val="Heading1"/>
      </w:pPr>
      <w:r>
        <w:t>Решение</w:t>
      </w:r>
    </w:p>
    <w:p>
      <w:pPr>
        <w:pStyle w:val="Heading2"/>
      </w:pPr>
      <w:r>
        <w:t>вводная часть</w:t>
      </w:r>
    </w:p>
    <w:p>
      <w:r>
        <w:t>Заказчик:</w:t>
      </w:r>
    </w:p>
    <w:p>
      <w:r>
        <w:t>Федеральное бюджетное лечебно-профилактическое учреждение «Лечебно-реабилитационный центр «Подмосковье» Федеральной налоговой службы»</w:t>
      </w:r>
    </w:p>
    <w:p>
      <w:r>
        <w:t>zakupki@podmoskovief№s.ru</w:t>
      </w:r>
    </w:p>
    <w:p>
      <w:r>
        <w:t>Оператор электронной площадки:</w:t>
      </w:r>
    </w:p>
    <w:p>
      <w:r>
        <w:t>ЭТП «Фабрикант»</w:t>
      </w:r>
    </w:p>
    <w:p>
      <w:r>
        <w:t>Причальный проезд, д. 2А,</w:t>
      </w:r>
    </w:p>
    <w:p>
      <w:r>
        <w:t>БЦ «Якорь», 5 этаж,</w:t>
      </w:r>
    </w:p>
    <w:p>
      <w:r>
        <w:t>Москва, 123290</w:t>
      </w:r>
    </w:p>
    <w:p>
      <w:r>
        <w:t>i№fo@fabrika№t.ru</w:t>
      </w:r>
    </w:p>
    <w:p>
      <w:r>
        <w:t>Заявитель:</w:t>
      </w:r>
    </w:p>
    <w:p>
      <w:r>
        <w:t>ООО «АНИКА»</w:t>
      </w:r>
    </w:p>
    <w:p>
      <w:r>
        <w:t>5829816@mail.ru</w:t>
      </w:r>
    </w:p>
    <w:p>
      <w:r>
        <w:t>РЕШЕНИЕ</w:t>
      </w:r>
    </w:p>
    <w:p>
      <w:r>
        <w:t>по делу № 050/06/105-7761/2025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14.03.2025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«АНИКА» (далее – Заявитель) на действия (бездействие) Федерального бюджетного лечебно-профилактического учреждения «Лечебно-реабилитационный центр «Подмосковье» Федеральной налоговой службы» (далее – Заказчик) при определении поставщика (подрядчика, исполнителя) путем проведения ЭТП «Фабрикант» (далее – Оператор электронной площадки) открытого конкурса в электронной форме на капитальный ремонт внутриплощадочных инженерных сетей и благоустройство территории корпуса № 7 ФБЛПУ "ЛРЦ "Подмосковье" ФНС России по адресу: Московская область, городской округ Мытищи, деревня Аксаково, улица Санаторная , владение 2А, строение 22 (извещение № 0348100099625000006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Заказчика при проведении Заказчиком, Оператором электронной площадки Конкурса.</w:t>
      </w:r>
    </w:p>
    <w:p>
      <w:r>
        <w:t>По мнению Заявителя, его права и законные интересы нарушены действиями Заказчика, в части установления извещения о проведении Конкурса в противоречие требованиям Закона о контрактной системе.</w:t>
      </w:r>
    </w:p>
    <w:p>
      <w:r>
        <w:t>В соответствии с извещением о проведении Конкурса, протоколами, составленными при определении поставщика (подрядчика, исполнителя):</w:t>
      </w:r>
    </w:p>
    <w:p>
      <w:r>
        <w:t>извещение о проведении Конкурса размещено 21.02.2025;</w:t>
      </w:r>
    </w:p>
    <w:p>
      <w:r>
        <w:t>начальная (максимальная) цена контракта – 94 744 708,08рублей;</w:t>
      </w:r>
    </w:p>
    <w:p>
      <w:r>
        <w:t>дата окончания подачи заявок – 10.03.2025;</w:t>
      </w:r>
    </w:p>
    <w:p>
      <w:r>
        <w:t>на участие в Конкурсе подана 1 заявка от участника закупки, признанная соответствующей требованиям извещения о проведении Конкурса.</w:t>
      </w:r>
    </w:p>
    <w:p>
      <w:r>
        <w:t>1. Согласно доводу жалобы заявителя, Заказчиком в извещении о проведении Конкурса неправомерно установлено требования к участникам о наличии членства в саморегулируемой организации в области строительства, реконструкции, капитального ремонта объектов капитального строительства.</w:t>
      </w:r>
    </w:p>
    <w:p>
      <w:r>
        <w:t>В соответствии с пунктом 1 части 1 статьи 31 Закона о контрактной системе при осуществлении закупки заказчик устанавливает единые требования к участникам закупки, в том числе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этом в соответствии с частью 6 статьи 31 Закона о контрактной системе заказчики не вправе устанавливать требования к участникам закупок в нарушение требований Закона о контрактной системе.</w:t>
      </w:r>
    </w:p>
    <w:p>
      <w:r>
        <w:t>Согласно части 1 статьи 55.8 Градостроительного кодекса Российской Федерации (далее - ГрК РФ)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иное не установлено ГрК РФ.</w:t>
      </w:r>
    </w:p>
    <w:p>
      <w:r>
        <w:t>Частью 2.1 статьи 52 ГрК РФ установлено, что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десяти миллионов рублей.</w:t>
      </w:r>
    </w:p>
    <w:p>
      <w:r>
        <w:t>В соответствии с положениями ГрК Российской Федерации минимальный размер взноса в компенсационный фонд возмещения вреда должен быть сформирован в соответствии с требованиями части 12 статьи 55.16 ГрК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части 13 статьи 55.16 ГрК Российской Федерации.</w:t>
      </w:r>
    </w:p>
    <w:p>
      <w:r>
        <w:t>Заказчиком в извещении о проведении Конкурса установлено, в том числе следующее:</w:t>
      </w:r>
    </w:p>
    <w:p>
      <w:r>
        <w:t>«4 Требование к участникам закупок в соответствии с п. 1 ч. 1 ст. 31 Закона № 44-ФЗ</w:t>
      </w:r>
    </w:p>
    <w:p>
      <w:r>
        <w:t>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Минимальный размер взноса участника закупки в компенсационный фонд возмещения вреда должен быть сформирован в соответствии с требованиями ч. 12 ст. 55.16 Градостроительного кодекса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 13 ст. 55.16 Градостроительного кодекса Российской Федерации. Уровень ответственности члена саморегулируемой организации должен быть не ниже предложения участника закупки о цене контракта. *за исключением случаев, перечисленных в ч. 2.1 и 2.2. ст. 52 Градостроительного кодекса РФ. Участник вправе предоставить информацию из единого реестра сведений о членах саморегулируемых организаций и их обязательствах в любой свободной форме, подтверждающую, что участник закупки является членом саморегулируемой организации в области строительства, реконструкции, капитального ремонта объектов капитального строительства».</w:t>
      </w:r>
    </w:p>
    <w:p>
      <w:r>
        <w:t>Вместе с тем, согласно извещению о проведении Конкурса, предметом закупки является капитальный ремонт внутриплощадочных инженерных сетей и благоустройство территории корпуса № 7 ФБЛПУ "ЛРЦ "Подмосковье" ФНС России по адресу: Московская область, городской округ Мытищи, деревня Аксаково, улица Санаторная , владение 2А, строение 22 с начальной максимальной ценой контракта 94 744 708,08 рублей.</w:t>
      </w:r>
    </w:p>
    <w:p>
      <w:r>
        <w:t>Заказчиком в извещении о проведении Конкурса установлена с Проектно-сметной документация в рамках исполнения контракта, а именно:</w:t>
      </w:r>
    </w:p>
    <w:p>
      <w:r>
        <w:t>«ЛСР 02-01-01 Система водоснабжения. Наружные сети</w:t>
      </w:r>
    </w:p>
    <w:p>
      <w:r>
        <w:t>ЛСР 02-01-01 Наружные внутриплощадочные сети водоотведения</w:t>
      </w:r>
    </w:p>
    <w:p>
      <w:r>
        <w:t>ЛСР 02-03-01 Наружные тепловые сети</w:t>
      </w:r>
    </w:p>
    <w:p>
      <w:r>
        <w:t>ЛСР 02-03-01 Схема планировочной организации земельного участка</w:t>
      </w:r>
    </w:p>
    <w:p>
      <w:r>
        <w:t>ЛСР 02-04-01 Наружное освещение».</w:t>
      </w:r>
    </w:p>
    <w:p>
      <w:r>
        <w:t>Вместе с тем, Заказчиком в Техническом задании извещения о проведении Конкурса установлен перечень работ, выполняемых при исполнении контракта, в том числе:</w:t>
      </w:r>
    </w:p>
    <w:p>
      <w:r>
        <w:t>«Согласно разделу «ПЗУ», проектом предусматривается:</w:t>
      </w:r>
    </w:p>
    <w:p>
      <w:r>
        <w:t>– устройство из бетонной плитки отмостки, площадок, пешеходных дорожек и тротуаров с правом проезда пожарного автомобиля;</w:t>
      </w:r>
    </w:p>
    <w:p>
      <w:r>
        <w:t>– устройство асфальтобетонного покрытия парковок, проездов к столовой, техническим сооружениям, зданию фитнес-центра.</w:t>
      </w:r>
    </w:p>
    <w:p>
      <w:r>
        <w:t>– устройство деревянных настилов и мостиков;</w:t>
      </w:r>
    </w:p>
    <w:p>
      <w:r>
        <w:t>- устройство из бетона дорожек для игры в гольф;</w:t>
      </w:r>
    </w:p>
    <w:p>
      <w:r>
        <w:t>- устройство лестничных сходов из гранитной плитки;</w:t>
      </w:r>
    </w:p>
    <w:p>
      <w:r>
        <w:t>- устройство пандуса из бетонной плитки около входа в корпус;</w:t>
      </w:r>
    </w:p>
    <w:p>
      <w:r>
        <w:t>- установка гранитных бордюров камней ГП3, ГП1 и ГП 5, металлического борта;</w:t>
      </w:r>
    </w:p>
    <w:p>
      <w:r>
        <w:t>- установка дождеприемных лотков вдоль западного и южного фасадов спального корпуса;</w:t>
      </w:r>
    </w:p>
    <w:p>
      <w:r>
        <w:t>- устройство дорожек из гранитных высевок, галки и гранитных слэбов;</w:t>
      </w:r>
    </w:p>
    <w:p>
      <w:r>
        <w:t>- устройство газона и Аптекарского огорода, устройство газонных решеток;</w:t>
      </w:r>
    </w:p>
    <w:p>
      <w:r>
        <w:t>-устройство покрытия детской площадки из резиновой крошки;</w:t>
      </w:r>
    </w:p>
    <w:p>
      <w:r>
        <w:t>- устройство малых архитектурных форм, игрового и спортивного оборудования.</w:t>
      </w:r>
    </w:p>
    <w:p>
      <w:r>
        <w:t>Согласно разделу «КР» проектом предусматривается:</w:t>
      </w:r>
    </w:p>
    <w:p>
      <w:r>
        <w:t>– устройство ж/б подпорных стен;</w:t>
      </w:r>
    </w:p>
    <w:p>
      <w:r>
        <w:t>– устройство ж/б лестниц;</w:t>
      </w:r>
    </w:p>
    <w:p>
      <w:r>
        <w:t>– устройство деревянных настилов;</w:t>
      </w:r>
    </w:p>
    <w:p>
      <w:r>
        <w:t>- устройство деревянного ограждения.</w:t>
      </w:r>
    </w:p>
    <w:p>
      <w:r>
        <w:t>Согласно разделу «ИОС1» проектом предусматривается:</w:t>
      </w:r>
    </w:p>
    <w:p>
      <w:r>
        <w:t>– Устройство систем электроснабжения наружного освещения.</w:t>
      </w:r>
    </w:p>
    <w:p>
      <w:r>
        <w:t>Согласно разделу «ИОС2» проектом предусматривается:</w:t>
      </w:r>
    </w:p>
    <w:p>
      <w:r>
        <w:t>– Ремонт сетей наружного водоснабжения.</w:t>
      </w:r>
    </w:p>
    <w:p>
      <w:r>
        <w:t>Согласно разделу «ИОС3» проектом предусматривается:</w:t>
      </w:r>
    </w:p>
    <w:p>
      <w:r>
        <w:t>– Ремонт сетей наружной канализации (водоотведения).</w:t>
      </w:r>
    </w:p>
    <w:p>
      <w:r>
        <w:t>Согласно разделу «ИОС4» предусматривается:</w:t>
      </w:r>
    </w:p>
    <w:p>
      <w:r>
        <w:t>- Прокладка внутриплощадочных подземных трубопроводов безканальных.</w:t>
      </w:r>
    </w:p>
    <w:p>
      <w:r>
        <w:t>Согласно разделу ОДИ – обеспечение доступа инвалидов:</w:t>
      </w:r>
    </w:p>
    <w:p>
      <w:r>
        <w:t>- обеспечение равных возможностей получения доступа в здания и по территории всеми категориями маломобильных групп населения (МГН).</w:t>
      </w:r>
    </w:p>
    <w:p>
      <w:r>
        <w:t>Общестроительные работы:</w:t>
      </w:r>
    </w:p>
    <w:p>
      <w:r>
        <w:t>– Геодезические работы:</w:t>
      </w:r>
    </w:p>
    <w:p>
      <w:r>
        <w:t>Создание геодезической разбивочной основы для строительства;</w:t>
      </w:r>
    </w:p>
    <w:p>
      <w:r>
        <w:t>Вынесение в натуру основных или главных разбивочных осей зданий и сооружений, а также при необходимости построение внешней разбивочной сети здания (сооружения).</w:t>
      </w:r>
    </w:p>
    <w:p>
      <w:r>
        <w:t>– Земляные сооружения и основания:</w:t>
      </w:r>
    </w:p>
    <w:p>
      <w:r>
        <w:t>Разработка котлованов, траншей, выемок;</w:t>
      </w:r>
    </w:p>
    <w:p>
      <w:r>
        <w:t>Уплотнение грунтов трамбовками и устройство грунтовых подушек;</w:t>
      </w:r>
    </w:p>
    <w:p>
      <w:r>
        <w:t>Обратная засыпка котлованов, траншей и пазух;</w:t>
      </w:r>
    </w:p>
    <w:p>
      <w:r>
        <w:t>Возведение земельного полотна.</w:t>
      </w:r>
    </w:p>
    <w:p>
      <w:r>
        <w:t>– Устройство фундаментов:</w:t>
      </w:r>
    </w:p>
    <w:p>
      <w:r>
        <w:t>– Устройство железобетонных монолитных конструкций:</w:t>
      </w:r>
    </w:p>
    <w:p>
      <w:r>
        <w:t>Опалубочные работы;</w:t>
      </w:r>
    </w:p>
    <w:p>
      <w:r>
        <w:t>Арматурные работы;</w:t>
      </w:r>
    </w:p>
    <w:p>
      <w:r>
        <w:t>Укладка бетонной смеси.</w:t>
      </w:r>
    </w:p>
    <w:p>
      <w:r>
        <w:t>Специальные строительные работы</w:t>
      </w:r>
    </w:p>
    <w:p>
      <w:r>
        <w:t>– Монтаж электротехнических устройств:</w:t>
      </w:r>
    </w:p>
    <w:p>
      <w:r>
        <w:t>Монтаж силовых трансформаторов;</w:t>
      </w:r>
    </w:p>
    <w:p>
      <w:r>
        <w:t>Монтаж заземляющих устройств;</w:t>
      </w:r>
    </w:p>
    <w:p>
      <w:r>
        <w:t>Монтаж распределительных устройств;</w:t>
      </w:r>
    </w:p>
    <w:p>
      <w:r>
        <w:t>Прокладка кабельных линий;</w:t>
      </w:r>
    </w:p>
    <w:p>
      <w:r>
        <w:t>Монтаж электропроводок.</w:t>
      </w:r>
    </w:p>
    <w:p>
      <w:r>
        <w:t>– Монтаж наружных инженерных систем.</w:t>
      </w:r>
    </w:p>
    <w:p>
      <w:r>
        <w:t>– Благоустройство территории».</w:t>
      </w:r>
    </w:p>
    <w:p>
      <w:r>
        <w:t>На заседании Комиссии представитель Заказчика пояснил, что пунктом «К» Тома 7 раздела «Проект организации строительства» Проектно-сметной документации определена Технологическая последовательность работ при возведении объекта капитального строительства и их отдельных элементов, а именно:</w:t>
      </w:r>
    </w:p>
    <w:p>
      <w:r>
        <w:t>Работы производится в следующей технологической последовательности:</w:t>
      </w:r>
    </w:p>
    <w:p>
      <w:r>
        <w:t>– работы подготовительного периода;</w:t>
      </w:r>
    </w:p>
    <w:p>
      <w:r>
        <w:t>– работы основного периода:</w:t>
      </w:r>
    </w:p>
    <w:p>
      <w:r>
        <w:t>- прокладка наружных инженерных коммуникаций;</w:t>
      </w:r>
    </w:p>
    <w:p>
      <w:r>
        <w:t>- планировка территории, устройство дорог, благоустройство территории и озеленение.</w:t>
      </w:r>
    </w:p>
    <w:p>
      <w:r>
        <w:t>Устройство инженерных сетей осуществлять захватками, с выгораживанием каждой из них временным защитным ограждением. Размеры захваток определяются в ППР.</w:t>
      </w:r>
    </w:p>
    <w:p>
      <w:r>
        <w:t>Технологическая последовательность производства работ по прокладке инженерных коммуникаций:</w:t>
      </w:r>
    </w:p>
    <w:p>
      <w:r>
        <w:t>– разработка грунта траншеи;</w:t>
      </w:r>
    </w:p>
    <w:p>
      <w:r>
        <w:t>– прокладка коммуникаций;</w:t>
      </w:r>
    </w:p>
    <w:p>
      <w:r>
        <w:t>– обратная засыпка траншеи.</w:t>
      </w:r>
    </w:p>
    <w:p>
      <w:r>
        <w:t>После окончания строительства выполняется полный комплекс работ по благоустройству территории.</w:t>
      </w:r>
    </w:p>
    <w:p>
      <w:r>
        <w:t>Кроме того, согласно Локальному сметному расчеты общая стоимость работ по благоустройству территории - 70 401,89 тыс.рублей, что составляет более 74% от начальной максимальной цены контракта и общей стоимости работ.</w:t>
      </w:r>
    </w:p>
    <w:p>
      <w:pPr>
        <w:pStyle w:val="Heading2"/>
      </w:pPr>
      <w:r>
        <w:t>мотивировочная часть</w:t>
      </w:r>
    </w:p>
    <w:p>
      <w:r>
        <w:t>На основании изложенного, Комиссия приходит к выводу, что объектом закупки предусматривается выполнение работ в рамках благоустройства территории, не относящихся в соответствии с положениями ГрК РФ к объекту капитального строения и не подпадающих под действия законодательства о градостроительной деятельности и понятия «капитального ремонта объекта капитального строительства».</w:t>
      </w:r>
    </w:p>
    <w:p>
      <w:r>
        <w:t>Изучив документы и сведения, Комиссия приходит к выводу, что действия Заказчика в части установления требования к участникам о наличии членства в саморегулируемой организации в области строительства, реконструкции, капитального ремонта объектов капитального строительства противоречат требованиям Закона о контрактной системе.</w:t>
      </w:r>
    </w:p>
    <w:p>
      <w:r>
        <w:t>При этом, представителем Заказчика не представлено документов и сведений, однозначно свидетельствующих об обратном.</w:t>
      </w:r>
    </w:p>
    <w:p>
      <w:r>
        <w:t>Следовательно, довод жалобы Заявителя является обоснованным.</w:t>
      </w:r>
    </w:p>
    <w:p>
      <w:r>
        <w:t>На основании изложенного, Комиссия приходит к выводу, что действия Заказчика в части установления требования к участникам закупки о наличии членства в саморегулируемой организации нарушают пункт 1 части 1 статьи 31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2. Согласно доводу жалобы Заявителя, Заказчиком в извещении о проведении Конкурса неправомерно установлены дополнительные требования в соответствии с позицией 10 приложения к Постановлению Правительства РФ от 29.12.2021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w:t>
      </w:r>
    </w:p>
    <w:p>
      <w:r>
        <w:t>В соответствии с пунктом 12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и размещает в ЕИС извещение об осуществлении закупки, содержащее информацию о требованиях, предъявляемых к участникам закупки в соответствии с частями 2 и 2.1 (при наличии таких требований) статьи 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Закона о контрактной системе (при наличии такого требования).</w:t>
      </w:r>
    </w:p>
    <w:p>
      <w:r>
        <w:t>В соответствии с частями 2, 3 статьи 31 Закона о контрактной системе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1) финансовых ресурсов для исполнения контракта; 2) на праве собственности или ином законном основании оборудования и других материальных ресурсов для исполнения контракта; 3) опыта работы, связанного с предметом контракта, и деловой репутации; 4) необходимого количества специалистов и иных работников определенного уровня квалификации для исполнения контракта., а также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w:t>
      </w:r>
    </w:p>
    <w:p>
      <w:r>
        <w:t>Согласно части 4 статьи 31 Закона о контрактной системе в случае установления Правительством Российской Федерации в соответствии с частью 2 статьи 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соответствии с пунктом «а» части 3 Постановления Правительства Российской Федерации от 29.12.2021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 положения настоящего постановления применяются при проведении конкурентных способов определения поставщиков (подрядчиков, исполнителей), при этом позиция 10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Согласно позиции 10 Постановления № 2571 при проведении конкурентных процедур на выполнение работы по капитальному ремонту объекта капитального строительства (за исключением линейного объекта) предъявляется требование о наличие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Заказчиком в извещении о проведении Конкурса установлены требования к участникам закупки, в том числе следующие:</w:t>
      </w:r>
    </w:p>
    <w:p>
      <w:r>
        <w:t>«3 . 1 Требования в соответствии с позицией 10 раздела II приложения к ПП РФ от 29.12.2021 № 2571</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Вместе с тем, согласно извещению о проведении Конкурса, предметом закупки является капитальный ремонт внутриплощадочных инженерных сетей и благоустройство территории корпуса № 7 ФБЛПУ "ЛРЦ "Подмосковье" ФНС России по адресу: Московская область, городской округ Мытищи, деревня Аксаково, улица Санаторная , владение 2А, строение 22 с начальной максимальной ценой контракта 94 744 708,08 рублей.</w:t>
      </w:r>
    </w:p>
    <w:p>
      <w:r>
        <w:t>Заказчиком в извещении о проведении Конкурса установлена с Проектно-сметной документация в рамках исполнения контракта, а именно:</w:t>
      </w:r>
    </w:p>
    <w:p>
      <w:r>
        <w:t>«ЛСР 02-01-01 Система водоснабжения. Наружные сети</w:t>
      </w:r>
    </w:p>
    <w:p>
      <w:r>
        <w:t>ЛСР 02-01-01 Наружные внутриплощадочные сети водоотведения</w:t>
      </w:r>
    </w:p>
    <w:p>
      <w:r>
        <w:t>ЛСР 02-03-01 Наружные тепловые сети</w:t>
      </w:r>
    </w:p>
    <w:p>
      <w:r>
        <w:t>ЛСР 02-03-01 Схема планировочной организации земельного участка</w:t>
      </w:r>
    </w:p>
    <w:p>
      <w:r>
        <w:t>ЛСР 02-04-01 Наружное освещение».</w:t>
      </w:r>
    </w:p>
    <w:p>
      <w:r>
        <w:t>Вместе с тем, Заказчиком в Техническом задании извещения о проведении Конкурса установлен перечень работ, выполняемых при исполнении контракта, в том числе:</w:t>
      </w:r>
    </w:p>
    <w:p>
      <w:r>
        <w:t>«Согласно разделу «ПЗУ», проектом предусматривается:</w:t>
      </w:r>
    </w:p>
    <w:p>
      <w:r>
        <w:t>– устройство из бетонной плитки отмостки, площадок, пешеходных дорожек и тротуаров с правом проезда пожарного автомобиля;</w:t>
      </w:r>
    </w:p>
    <w:p>
      <w:r>
        <w:t>– устройство асфальтобетонного покрытия парковок, проездов к столовой, техническим сооружениям, зданию фитнес-центра.</w:t>
      </w:r>
    </w:p>
    <w:p>
      <w:r>
        <w:t>– устройство деревянных настилов и мостиков;</w:t>
      </w:r>
    </w:p>
    <w:p>
      <w:r>
        <w:t>- устройство из бетона дорожек для игры в гольф;</w:t>
      </w:r>
    </w:p>
    <w:p>
      <w:r>
        <w:t>- устройство лестничных сходов из гранитной плитки;</w:t>
      </w:r>
    </w:p>
    <w:p>
      <w:r>
        <w:t>- устройство пандуса из бетонной плитки около входа в корпус;</w:t>
      </w:r>
    </w:p>
    <w:p>
      <w:r>
        <w:t>- установка гранитных бордюров камней ГП3, ГП1 и ГП 5, металлического борта;</w:t>
      </w:r>
    </w:p>
    <w:p>
      <w:r>
        <w:t>- установка дождеприемных лотков вдоль западного и южного фасадов спального корпуса;</w:t>
      </w:r>
    </w:p>
    <w:p>
      <w:r>
        <w:t>- устройство дорожек из гранитных высевок, галки и гранитных слэбов;</w:t>
      </w:r>
    </w:p>
    <w:p>
      <w:r>
        <w:t>- устройство газона и Аптекарского огорода, устройство газонных решеток;</w:t>
      </w:r>
    </w:p>
    <w:p>
      <w:r>
        <w:t>-устройство покрытия детской площадки из резиновой крошки;</w:t>
      </w:r>
    </w:p>
    <w:p>
      <w:r>
        <w:t>- устройство малых архитектурных форм, игрового и спортивного оборудования.</w:t>
      </w:r>
    </w:p>
    <w:p>
      <w:r>
        <w:t>Согласно разделу «КР» проектом предусматривается:</w:t>
      </w:r>
    </w:p>
    <w:p>
      <w:r>
        <w:t>– устройство ж/б подпорных стен;</w:t>
      </w:r>
    </w:p>
    <w:p>
      <w:r>
        <w:t>– устройство ж/б лестниц;</w:t>
      </w:r>
    </w:p>
    <w:p>
      <w:r>
        <w:t>– устройство деревянных настилов;</w:t>
      </w:r>
    </w:p>
    <w:p>
      <w:r>
        <w:t>- устройство деревянного ограждения.</w:t>
      </w:r>
    </w:p>
    <w:p>
      <w:r>
        <w:t>Согласно разделу «ИОС1» проектом предусматривается:</w:t>
      </w:r>
    </w:p>
    <w:p>
      <w:r>
        <w:t>– Устройство систем электроснабжения наружного освещения.</w:t>
      </w:r>
    </w:p>
    <w:p>
      <w:r>
        <w:t>Согласно разделу «ИОС2» проектом предусматривается:</w:t>
      </w:r>
    </w:p>
    <w:p>
      <w:r>
        <w:t>– Ремонт сетей наружного водоснабжения.</w:t>
      </w:r>
    </w:p>
    <w:p>
      <w:r>
        <w:t>Согласно разделу «ИОС3» проектом предусматривается:</w:t>
      </w:r>
    </w:p>
    <w:p>
      <w:r>
        <w:t>– Ремонт сетей наружной канализации (водоотведения).</w:t>
      </w:r>
    </w:p>
    <w:p>
      <w:r>
        <w:t>Согласно разделу «ИОС4» предусматривается:</w:t>
      </w:r>
    </w:p>
    <w:p>
      <w:r>
        <w:t>- Прокладка внутриплощадочных подземных трубопроводов безканальных.</w:t>
      </w:r>
    </w:p>
    <w:p>
      <w:r>
        <w:t>Согласно разделу ОДИ – обеспечение доступа инвалидов:</w:t>
      </w:r>
    </w:p>
    <w:p>
      <w:r>
        <w:t>- обеспечение равных возможностей получения доступа в здания и по территории всеми категориями маломобильных групп населения (МГН).</w:t>
      </w:r>
    </w:p>
    <w:p>
      <w:r>
        <w:t>Общестроительные работы:</w:t>
      </w:r>
    </w:p>
    <w:p>
      <w:r>
        <w:t>– Геодезические работы:</w:t>
      </w:r>
    </w:p>
    <w:p>
      <w:r>
        <w:t>Создание геодезической разбивочной основы для строительства;</w:t>
      </w:r>
    </w:p>
    <w:p>
      <w:r>
        <w:t>Вынесение в натуру основных или главных разбивочных осей зданий и сооружений, а также при необходимости построение внешней разбивочной сети здания (сооружения).</w:t>
      </w:r>
    </w:p>
    <w:p>
      <w:r>
        <w:t>– Земляные сооружения и основания:</w:t>
      </w:r>
    </w:p>
    <w:p>
      <w:r>
        <w:t>Разработка котлованов, траншей, выемок;</w:t>
      </w:r>
    </w:p>
    <w:p>
      <w:r>
        <w:t>Уплотнение грунтов трамбовками и устройство грунтовых подушек;</w:t>
      </w:r>
    </w:p>
    <w:p>
      <w:r>
        <w:t>Обратная засыпка котлованов, траншей и пазух;</w:t>
      </w:r>
    </w:p>
    <w:p>
      <w:r>
        <w:t>Возведение земельного полотна.</w:t>
      </w:r>
    </w:p>
    <w:p>
      <w:r>
        <w:t>– Устройство фундаментов:</w:t>
      </w:r>
    </w:p>
    <w:p>
      <w:r>
        <w:t>– Устройство железобетонных монолитных конструкций:</w:t>
      </w:r>
    </w:p>
    <w:p>
      <w:r>
        <w:t>Опалубочные работы;</w:t>
      </w:r>
    </w:p>
    <w:p>
      <w:r>
        <w:t>Арматурные работы;</w:t>
      </w:r>
    </w:p>
    <w:p>
      <w:r>
        <w:t>Укладка бетонной смеси.</w:t>
      </w:r>
    </w:p>
    <w:p>
      <w:r>
        <w:t>Специальные строительные работы</w:t>
      </w:r>
    </w:p>
    <w:p>
      <w:r>
        <w:t>– Монтаж электротехнических устройств:</w:t>
      </w:r>
    </w:p>
    <w:p>
      <w:r>
        <w:t>Монтаж силовых трансформаторов;</w:t>
      </w:r>
    </w:p>
    <w:p>
      <w:r>
        <w:t>Монтаж заземляющих устройств;</w:t>
      </w:r>
    </w:p>
    <w:p>
      <w:r>
        <w:t>Монтаж распределительных устройств;</w:t>
      </w:r>
    </w:p>
    <w:p>
      <w:r>
        <w:t>Прокладка кабельных линий;</w:t>
      </w:r>
    </w:p>
    <w:p>
      <w:r>
        <w:t>Монтаж электропроводок.</w:t>
      </w:r>
    </w:p>
    <w:p>
      <w:r>
        <w:t>– Монтаж наружных инженерных систем.</w:t>
      </w:r>
    </w:p>
    <w:p>
      <w:r>
        <w:t>– Благоустройство территории».</w:t>
      </w:r>
    </w:p>
    <w:p>
      <w:r>
        <w:t>На заседании Комиссии представитель Заказчика пояснил, что пунктом «К» Тома 7 раздела «Проект организации строительства» Проектно-сметной документацииопределена Технологическая последовательность работ при возведении объекта капитального строительства и их отдельных элементов, а именно:</w:t>
      </w:r>
    </w:p>
    <w:p>
      <w:r>
        <w:t>Работы производится в следующей технологической последовательности:</w:t>
      </w:r>
    </w:p>
    <w:p>
      <w:r>
        <w:t>– работы подготовительного периода;</w:t>
      </w:r>
    </w:p>
    <w:p>
      <w:r>
        <w:t>– работы основного периода:</w:t>
      </w:r>
    </w:p>
    <w:p>
      <w:r>
        <w:t>- прокладка наружных инженерных коммуникаций;</w:t>
      </w:r>
    </w:p>
    <w:p>
      <w:r>
        <w:t>- планировка территории, устройство дорог, благоустройство территории и озеленение.</w:t>
      </w:r>
    </w:p>
    <w:p>
      <w:r>
        <w:t>Устройство инженерных сетей осуществлять захватками, с выгораживанием каждой из них временным защитным ограждением. Размеры захваток определяются в ППР.</w:t>
      </w:r>
    </w:p>
    <w:p>
      <w:r>
        <w:t>Технологическая последовательность производства работ по прокладке инженерных коммуникаций:</w:t>
      </w:r>
    </w:p>
    <w:p>
      <w:r>
        <w:t>– разработка грунта траншеи;</w:t>
      </w:r>
    </w:p>
    <w:p>
      <w:r>
        <w:t>– прокладка коммуникаций;</w:t>
      </w:r>
    </w:p>
    <w:p>
      <w:r>
        <w:t>– обратная засыпка траншеи.</w:t>
      </w:r>
    </w:p>
    <w:p>
      <w:r>
        <w:t>После окончания строительства выполняется полный комплекс работ по благоустройству территории.</w:t>
      </w:r>
    </w:p>
    <w:p>
      <w:r>
        <w:t>В соответствии с пунктом 10 статьи 1 ГрК РФ объект капитального строительства -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
        <w:t>Согласно пункту 36 статьи 1 ГрК РФ 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
        <w:t>Кроме того, согласно Локальному сметному расчеты общая стоимость работ по благоустройству территории - 70 401,89 тыс.рублей, что составляет более 74% от начальной максимальной цены контракта и общей стоимости работ.</w:t>
      </w:r>
    </w:p>
    <w:p>
      <w:r>
        <w:t>С учетом изложенного, на заседании Комиссии установлено, что объектом закупки предусматривается выполнение работ в рамках благоустройства территории, не относящихся в соответствии с положениями ГрК РФ к объекту капитального строения и не подпадающих под действия законодательства о градостроительной деятельности.</w:t>
      </w:r>
    </w:p>
    <w:p>
      <w:r>
        <w:t>Изучив документы и сведения, Комиссия приходит к выводу, что действия Заказчика в части установления дополнительных требований к участникам закупки в соответствии с позицией 10 приложения к Постановлению № 2571 противоречат положениям Закона о контрактной системе.</w:t>
      </w:r>
    </w:p>
    <w:p>
      <w:r>
        <w:t>При этом, представителем Заказчика не представлено документов и сведений, однозначно свидетельствующих об обратном.</w:t>
      </w:r>
    </w:p>
    <w:p>
      <w:r>
        <w:t>Следовательно, довод жалобы Заявителя является обоснованным.</w:t>
      </w:r>
    </w:p>
    <w:p>
      <w:r>
        <w:t>На основании изложенного Комиссия приходит к выводу о том, что действия Заказчика нарушают части 6 статьи 31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1. Признать жалобу ООО «АНИКА» обоснованной.</w:t>
      </w:r>
    </w:p>
    <w:p>
      <w:r>
        <w:t>Признать в действиях Заказчика нарушения пункта 1 части 1 статьи 31, части 6 статьи 31 Закона о контрактной системе.</w:t>
      </w:r>
    </w:p>
    <w:p>
      <w:r>
        <w:t>3. Заказчику, Конкурсной комиссии, Оператору электронной площадки выдать обязательное для исполнения предписание об устранении допущенных нарушений.</w:t>
      </w:r>
    </w:p>
    <w:p>
      <w:r>
        <w:t>4. Передать материалы дела от 14.03.2025 № 050/06/105-7761/2025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трех месяцев с даты принятия.</w:t>
      </w:r>
    </w:p>
    <w:p>
      <w:r>
        <w:t>11</w:t>
      </w:r>
    </w:p>
    <w:p>
      <w:r>
        <w:t>12</w:t>
      </w:r>
    </w:p>
    <w:p>
      <w:pPr>
        <w:pStyle w:val="Heading1"/>
      </w:pPr>
      <w:r>
        <w:t>Предписание</w:t>
      </w:r>
    </w:p>
    <w:p>
      <w:pPr>
        <w:pStyle w:val="Heading2"/>
      </w:pPr>
      <w:r>
        <w:t>вводная часть</w:t>
      </w:r>
    </w:p>
    <w:p>
      <w:r>
        <w:t>Заказчик:</w:t>
      </w:r>
    </w:p>
    <w:p>
      <w:r>
        <w:t>Федеральное бюджетное лечебно-профилактическое учреждение «Лечебно-реабилитационный центр «Подмосковье» Федеральной налоговой службы»</w:t>
      </w:r>
    </w:p>
    <w:p>
      <w:r>
        <w:t>zakupki@podmoskovief№s.ru</w:t>
      </w:r>
    </w:p>
    <w:p>
      <w:r>
        <w:t>Оператор электронной площадки:</w:t>
      </w:r>
    </w:p>
    <w:p>
      <w:r>
        <w:t>ЭТП «Фабрикант»</w:t>
      </w:r>
    </w:p>
    <w:p>
      <w:r>
        <w:t>Причальный проезд, д. 2А,</w:t>
      </w:r>
    </w:p>
    <w:p>
      <w:r>
        <w:t>БЦ «Якорь», 5 этаж,</w:t>
      </w:r>
    </w:p>
    <w:p>
      <w:r>
        <w:t>Москва, 123290</w:t>
      </w:r>
    </w:p>
    <w:p>
      <w:r>
        <w:t>i№fo@fabrika№t.ru</w:t>
      </w:r>
    </w:p>
    <w:p>
      <w:r>
        <w:t>Заявитель:</w:t>
      </w:r>
    </w:p>
    <w:p>
      <w:r>
        <w:t>ООО «АНИКА»</w:t>
      </w:r>
    </w:p>
    <w:p>
      <w:r>
        <w:t>5829816@mail.ru</w:t>
      </w:r>
    </w:p>
    <w:p>
      <w:r>
        <w:t>ПРЕДПИСАНИЕ</w:t>
      </w:r>
    </w:p>
    <w:p>
      <w:r>
        <w:t>по делу № 050/06/105-7761/2025 об устранении нарушений</w:t>
      </w:r>
    </w:p>
    <w:p>
      <w:r>
        <w:t>законодательства Российской Федерации о контрактной системе в сфере закупок</w:t>
      </w:r>
    </w:p>
    <w:p>
      <w:r>
        <w:t>14.03.2024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14.03.2025 № 050/06/105-7761/2025, принятого Комиссией по итогам рассмотрения жалобы ООО «АНИКА» (далее – Заявитель) на действия (бездействие) Федерального бюджетного лечебно-профилактического учреждения «Лечебно-реабилитационный центр «Подмосковье» Федеральной налоговой службы» (далее – Заказчик) при определении поставщика (подрядчика, исполнителя) путем проведения ЭТП «Фабрикант» (далее – Оператор электронной площадки) открытого конкурса в электронной форме на капитальный ремонт внутриплощадочных инженерных сетей и благоустройство территории корпуса № 7 ФБЛПУ "ЛРЦ "Подмосковье" ФНС России по адресу: Московская область, городской округ Мытищи, деревня Аксаково, улица Санаторная , владение 2А, строение 22 (извещение № 0348100099625000006 на официальном сайте Единой информационной системы в сфере закупок – www.zakupki.gov.ru (далее – Официальный сайт)) (далее – Конкурс) и в результате проведения внеплановой проверки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Конкурсной комиссией настоящего предписания.</w:t>
      </w:r>
    </w:p>
    <w:p>
      <w:r>
        <w:t>2. Заказчику, Конкурсной комиссии отменить Протоколы, составленные при осуществлении закупки, а также вернуть участникам закупки,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w:t>
      </w:r>
    </w:p>
    <w:p>
      <w:r>
        <w:t>3. Заказчику, не позднее 5 рабочих дней со дня исполнения пункта 2 настоящего предписания вернуть участникам закупки, подавшим заявки на участие в Конкурсе, денежные средства, внесенные в качестве обеспечения заявки на участие в Конкурсе.</w:t>
      </w:r>
    </w:p>
    <w:p>
      <w:r>
        <w:t>4. Заказчику:</w:t>
      </w:r>
    </w:p>
    <w:p>
      <w:r>
        <w:t>-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14.03.2025 № 050/06/105-7761/2025, а также разместить соответствующее извещение на Официальном сайте;</w:t>
      </w:r>
    </w:p>
    <w:p>
      <w:r>
        <w:t>- назначить новую дату рассмотрения заявок на участие в Конкурсе и дату подведения итогов Конкурса, а также разместить на Официальном сайте информацию об указанных датах. При этом срок подачи заявок на участие в Конкурсе должен быть продлен так,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w:t>
      </w:r>
    </w:p>
    <w:p>
      <w:r>
        <w:t>5. Заказчику, Конкурсной комиссии в срок до 28.03.2025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