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202500187298001757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01.04.2025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0373100120525000150</w:t>
      </w:r>
    </w:p>
    <w:p>
      <w:r>
        <w:rPr>
          <w:b/>
        </w:rPr>
        <w:t xml:space="preserve">Заказчик: </w:t>
      </w:r>
      <w:r>
        <w:t>Научно-исследовательский институт урологии и интервенционной радиологии имени Н.А. Лопаткина - филиал федерального государственного бюджетного учреждения «Национальный медицинский исследовательский центр радиологии»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«ЮРЛА»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https://zakupki.gov.ru/epz/complaint/card/complaint-information.html?complaintNumber=202500187298001757</w:t>
      </w:r>
    </w:p>
    <w:p/>
    <w:p>
      <w:pPr>
        <w:pStyle w:val="Heading1"/>
      </w:pPr>
      <w:r>
        <w:t>Решение</w:t>
      </w:r>
    </w:p>
    <w:p>
      <w:r>
        <w:t>ООО «Юрла»</w:t>
        <w:br/>
        <w:t>79690220694@mail.ru</w:t>
        <w:br/>
        <w:t>НИИ урологии и интервенционной</w:t>
        <w:br/>
        <w:t>радиологии им. Н.А. Лопаткина -</w:t>
        <w:br/>
        <w:t>филиал ФГБУ «НМИЦ радиологии»</w:t>
        <w:br/>
        <w:t>Минздрава России</w:t>
        <w:br/>
        <w:t>gos_zakupki@№mirc.ru</w:t>
        <w:br/>
        <w:t>ООО «РТС-тендер»</w:t>
        <w:br/>
        <w:t>info@rts-tender.ru ko@rts-tender.ru</w:t>
        <w:br/>
        <w:t>РЕШЕНИЕ</w:t>
        <w:br/>
        <w:t>по делу № 077/06/106-3908/2025 о нарушени и</w:t>
        <w:br/>
        <w:t>законодательства о контрактной системе</w:t>
        <w:br/>
        <w:t>01.04.2025 г. Москва</w:t>
        <w:br/>
        <w:t>Комиссия Управления Федеральной антимонопольной службы по г. Москве</w:t>
        <w:br/>
        <w:t>по контролю в сфере закупок товаров, работ, услуг (далее – Комиссия Управления) в</w:t>
        <w:br/>
        <w:t>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</w:t>
        <w:br/>
        <w:t>закупок Е.Д. Мартьяновой,</w:t>
        <w:br/>
        <w:t>Ведущего специалиста-эксперта отдела обжалования государственных</w:t>
        <w:br/>
        <w:t>закупок Э.З. Гугава,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НИИ урологии и интервенционной радиологии им. Н.А. Лопаткина - филиал</w:t>
        <w:br/>
        <w:t>ФГБУ «НМИЦ радиологии» Минздрава России: И.А. Губкина (доверенность</w:t>
        <w:br/>
        <w:t>от 05.12.2024 № 201), О.С. Мирзоева (доверенность от 26.02.2025 № 12),</w:t>
        <w:br/>
        <w:t>в отсутствии представителей ООО «Юрла», о времени и порядке заседания</w:t>
        <w:br/>
        <w:t>Комиссии Управления уведомленных надлежащим образом посредством</w:t>
        <w:br/>
        <w:t>размещения информации в Единой информационной системе,</w:t>
        <w:br/>
        <w:t>рассмотрев жалобу ООО «Юрла» (далее — Заявитель) на действия</w:t>
        <w:br/>
        <w:t>НИИ урологии и интервенционной радиологии им. Н.А. Лопаткина - филиал ФГБУ</w:t>
        <w:br/>
        <w:t>«НМИЦ радиологии» Минздрава России (далее — Заказчик) при проведении</w:t>
        <w:br/>
        <w:t>запроса котировок в электронной форме на право заключения государственного</w:t>
        <w:br/>
        <w:t>2025-15104</w:t>
        <w:br/>
        <w:t>2</w:t>
        <w:br/>
        <w:t>контракта на поставку медицинских изделий (Закупка № 0373100120525000150)</w:t>
        <w:br/>
        <w:t>(далее – запрос котировок) в соответствии с Федеральным законом от 05.04.2013</w:t>
        <w:br/>
        <w:t>№44-ФЗ «О контрактной системе в сфере закупок товаров, работ, услуг для</w:t>
        <w:br/>
        <w:t>обеспечения государственных и муниципальных нужд» (далее – Закон о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запроса котировок.</w:t>
        <w:br/>
        <w:t>Заявитель обжалует положения извещения об осуществлении закупки,</w:t>
        <w:br/>
        <w:t>установленные, по его мнению, в нарушение Закона о контрактной системе.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В составе жалобы Заявитель указывает, что Заказчиком неправомерно</w:t>
        <w:br/>
        <w:t>установлены преимущества в соответствии с постановлением Правительства</w:t>
        <w:br/>
        <w:t>Российской Федерации от 23.12.2024 № 1875 «О мерах по предоставлению</w:t>
      </w:r>
    </w:p>
    <w:p>
      <w:r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— постановление № 1875),</w:t>
        <w:br/>
        <w:t>поскольку закупаемые Заказчиком товары, в частности п. «Зонд. Идентификатор:</w:t>
        <w:br/>
        <w:t>178094961» с кодом КТРУ 32.50.13.110-00005628, кодом ОКПД2 32.50.13.110</w:t>
        <w:br/>
        <w:t>«Шприцы, иглы, катетеры, канюли и аналогичные инструменты» входит в</w:t>
        <w:br/>
        <w:t>Приложение № 2 под позицией № 388, ввиду чего Заказчику надлежало установить</w:t>
        <w:br/>
        <w:t>ограничение закупок товаров, происходящих из иностранных государств.</w:t>
        <w:br/>
        <w:t>При этом Заявитель в жалобе указывает, что Заказчиком закупаются также</w:t>
        <w:br/>
        <w:t>товары, которые не включены в позиции 362 — 432 Приложения № 2, а именно</w:t>
        <w:br/>
        <w:t>п. «Проводник несосудистый общего назначения», ввиду чего в силу пп. «г» п.4</w:t>
        <w:br/>
        <w:t>Постановления Правительства Российской Федерации от 23.12.2024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(далее —</w:t>
        <w:br/>
        <w:t>постановление № 1875) Заказчик неправомерно включает в один лот товары,</w:t>
        <w:br/>
        <w:t>включенные в в позиции 362 — 432 Приложения № 2 и не включенные в них.</w:t>
        <w:br/>
        <w:t>Согласно ч.1 ст.42 Закона о контрактной системе при осуществлении закупки</w:t>
        <w:br/>
        <w:t>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2025-15104</w:t>
        <w:br/>
        <w:t>3</w:t>
        <w:br/>
        <w:t>размещает в единой информационной системе извещение об осуществлении</w:t>
        <w:br/>
        <w:t>закупки, содержащее информация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</w:r>
    </w:p>
    <w:p>
      <w:r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 2, 3 ч.4 ст.14 Закона о контрактной системе при</w:t>
        <w:br/>
        <w:t>осуществлении закупки товара:</w:t>
        <w:br/>
        <w:t>2)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2025-15104</w:t>
        <w:br/>
        <w:t>4</w:t>
      </w:r>
    </w:p>
    <w:p>
      <w:r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допускается;</w:t>
        <w:br/>
        <w:t>если Правительством Российской Федерации установлено предусмотренное</w:t>
        <w:br/>
        <w:t>пп.«в» п.1 ч.2 ст.14 Закона о контрактной системе преимущество в отношении</w:t>
        <w:br/>
        <w:t>товара российского происхождения:</w:t>
        <w:br/>
        <w:t>а) при присвоении в соответствии с пп. «б» п.1 ч.15 ст.48, пп. «б» п.1 ч.5</w:t>
        <w:br/>
        <w:t>ст.49, пп. «б» п.1 ч.3 ст.50, пп. «в» п.1 ч.10 ст.73, п. 1 ч. 5 ст. 74, пп. «в» п.1 ч.9</w:t>
        <w:br/>
        <w:t>ст.75, пп. «б» п.1 ч.5 ст.76 Закона о контрактной системе порядкового номера заявке</w:t>
        <w:br/>
        <w:t>на участие в закупке, содержащей предложение о поставке товара только</w:t>
        <w:br/>
        <w:t>российского происхождения, осуществляется снижение на пятнадцать процентов</w:t>
        <w:br/>
        <w:t>ценового предложения этого участника закупки либо увеличение на пятнадцать</w:t>
        <w:br/>
        <w:t>процентов ценового предложения этого участника закупки в случае подачи им</w:t>
        <w:br/>
        <w:t>предложения о размере платы, подлежащей внесению за заключение контракта.</w:t>
        <w:br/>
        <w:t>При присвоении в соответствии с пп. «б» п.6 ч.12 ст.93 Закона о контрактной</w:t>
        <w:br/>
        <w:t>системе порядкового номера заявке на участие в закупке, содержащей предложение</w:t>
        <w:br/>
        <w:t>о поставке товара только российского происхождения, осуществляется снижение на</w:t>
        <w:br/>
        <w:t>пятнадцать процентов цены за единицу товара, предложенной участником закупки,</w:t>
        <w:br/>
        <w:t>подавшим такую заявку;</w:t>
        <w:br/>
        <w:t>б) в случае заключения контракта с участником закупки, указанным в пп. «а»</w:t>
        <w:br/>
        <w:t>п.3 ч.4 ст.14 Закона о контрактной системе, контракт заключается без учета</w:t>
        <w:br/>
        <w:t>осуществленных в соответствии с пп. «а» п.3 ч.4 ст.14 Закона о контрактной</w:t>
        <w:br/>
        <w:t>системе снижения ценового предложения, цены за единицу товара либо увеличения</w:t>
        <w:br/>
        <w:t>ценового предложения;</w:t>
        <w:br/>
        <w:t>в) при исполнении контракта допускается замена товара (с учетом</w:t>
        <w:br/>
        <w:t>особенностей, предусмотренных ч.7 ст.95 Закона о контрактной системе)</w:t>
        <w:br/>
        <w:t>исключительно на товар российского происхождения, если контракт</w:t>
        <w:br/>
        <w:t>предусматривает поставку товара российского происхождения.</w:t>
        <w:br/>
        <w:t>Комиссия Управления отмечает, что согласно извещению о проведении</w:t>
        <w:br/>
        <w:t>запроса котировок в электронной форме от 25.03.2025 №0373100120525000150</w:t>
      </w:r>
    </w:p>
    <w:p>
      <w:r>
        <w:t>объектом закупочной процедуры является поставка медицинских изделий.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силу абз.2,3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2025-15104</w:t>
        <w:br/>
        <w:t>5</w:t>
        <w:br/>
        <w:t>юридических лиц» 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лицами, по перечню согласно приложению № 2, преимущество в</w:t>
        <w:br/>
        <w:t>отношении товаров российского происхождения (в том числе поставляемых при</w:t>
        <w:br/>
        <w:t>выполнении закупаемых работ, оказании закупаемых услуг).</w:t>
        <w:br/>
        <w:t>Согласно пп. «б» п.4 Постановления № 1875 установить, что если объект</w:t>
        <w:br/>
        <w:t>закупки (предмет закупки) включает хотя бы один товар, не указанный в</w:t>
        <w:br/>
        <w:t>приложении № 1 к Постановлению № 1875 и приложении № 2 к Постановлению</w:t>
        <w:br/>
        <w:t>№ 1875, в отношении заявки, содержащей предложение о поставке товаров (в том</w:t>
        <w:br/>
        <w:t>числе поставляемых при выполнении закупаемых работ, оказании закупаемых</w:t>
        <w:br/>
        <w:t>услуг) только российского происхождения, применяется предусмотренное п.1</w:t>
        <w:br/>
        <w:t>Постановления № 1875 преимущество при условии, что:</w:t>
        <w:br/>
        <w:t>при осуществлении закупки в соответствии с Федеральным законом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в числе заявок на участие в закупке,</w:t>
        <w:br/>
        <w:t>которым в соответствии с пп. «б» п.1 ч.15 ст.48, пп. «б» п.1 ч.5 ст.49, пп. «б» п.1 ч.3</w:t>
        <w:br/>
        <w:t>ст.50, пп. «в» п.1 ч.10 ст.73, п.1 ч.5 ст.74, пп. «в» п.1 ч.9 ст.75, пп. «б» п.1 ч.5 ст. 76</w:t>
        <w:br/>
        <w:t>Федерального закона «О контрактной системе в сфере закупок товаров, работ,</w:t>
      </w:r>
    </w:p>
    <w:p>
      <w:r>
        <w:t>услуг для обеспечения государственных и муниципальных нужд» присваиваются</w:t>
        <w:br/>
        <w:t>порядковые номера, имеется заявка на участие в закупке, содержащая предложение</w:t>
        <w:br/>
        <w:t>о поставке хотя бы одного товара, происходящего из иностранного государства;</w:t>
        <w:br/>
        <w:t>при осуществлении закупки в соответствии с Федеральным законом «О</w:t>
        <w:br/>
        <w:t>закупках товаров, работ, услуг отдельными видами юридических лиц» в числе</w:t>
        <w:br/>
        <w:t>заявок на участие в закупке (окончательных предложений), которые</w:t>
        <w:br/>
        <w:t>рассматриваются, оцениваются, сопоставляются, имеется заявка на участие в</w:t>
        <w:br/>
        <w:t>закупке, которая не отклонена и содержит предложение о поставке хотя бы одного</w:t>
        <w:br/>
        <w:t>товара, происходящего из иностранного государства.</w:t>
        <w:br/>
        <w:t>На основании пп. «г» п.4 Постановления № 1875 установлено, что при</w:t>
        <w:br/>
        <w:t>осуществлении закупок в соответствии с Законом о контрактной системе,</w:t>
        <w:br/>
        <w:t>Федеральным законом «О закупках товаров, работ, услуг отдельными видами</w:t>
        <w:br/>
        <w:t>юридических лиц», за исключением закупок у единственного поставщика</w:t>
        <w:br/>
        <w:t>(подрядчика, исполнителя) и закупок у единственного поставщика (исполнителя,</w:t>
        <w:br/>
        <w:t>подрядчика) соответственно, не могут быть включены в предмет одного контракта</w:t>
        <w:br/>
        <w:t>(одного лота), одного договора (одного лота) товары, в частности, указанные в</w:t>
        <w:br/>
        <w:t>позициях 17, 139 - 141 приложения № 1 к настоящему постановлению, 179, 189,</w:t>
        <w:br/>
        <w:t>320 (в части дефибрилляторов), 362 - 432 приложения № 2 к Постановлению №</w:t>
        <w:br/>
        <w:t>1875, и товары, не указанные в таких позициях.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2025-15104</w:t>
        <w:br/>
        <w:t>6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</w:r>
    </w:p>
    <w:p>
      <w:r>
        <w:t>П.1, п.2 ч.1 ст.33 Закона о контрактной системе установлено, что Заказчик при</w:t>
        <w:br/>
        <w:t>описании объекта 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  <w:br/>
        <w:t>закупки не используются установленные в соответствии с законодательством</w:t>
      </w:r>
    </w:p>
    <w:p>
      <w:r>
        <w:t>Российской Федерации о техническом регулировании, законодательством</w:t>
        <w:br/>
        <w:t>2025-15104</w:t>
        <w:br/>
        <w:t>7</w:t>
        <w:br/>
        <w:t>Российской Федерации о стандартизации показатели, требования, условные</w:t>
        <w:br/>
        <w:t>обозначения и терминология, в описании объекта закупки должно содержаться</w:t>
        <w:br/>
        <w:t>обоснование необходимости использования других показателей, требований,</w:t>
        <w:br/>
        <w:t>условных обозначений и терминологии.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Комиссией Управления установлено, что Заказчиком в извещении об</w:t>
        <w:br/>
        <w:t>осуществлении закупки установлено преимущество в отношении товаров</w:t>
        <w:br/>
        <w:t>российского происхождения, выполняемых работ, оказываемых услуг российскими</w:t>
        <w:br/>
        <w:t>лицами.</w:t>
        <w:br/>
        <w:t>Комиссией Управления также установлено, что Заказчиком закупается, в</w:t>
        <w:br/>
        <w:t>частности: п. «Зонд» с идентификатором 178094961, при этом выбран код КТРУ</w:t>
        <w:br/>
        <w:t>32.50.13.110-00005628, код ОКПД2 32.50.13.110 «Шприцы, иглы, катетеры, канюли</w:t>
        <w:br/>
        <w:t>и аналогичные инструменты».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согласно пп. д п.4 Постановления № 1875 позиции приложения № 1 к</w:t>
        <w:br/>
        <w:t>Постановлению № 1875 и приложения № 2 к Постановлению № 1875</w:t>
        <w:br/>
        <w:t>применяются, если в объект закупки включены товар, работа, услуга,</w:t>
        <w:br/>
        <w:t>наименования которых указаны в графе «Наименование товара, работы, услуги» и</w:t>
        <w:br/>
        <w:t>которые включены в код, указанный в графе «Код товара, работы, услуги по</w:t>
        <w:br/>
        <w:t>Общероссийскому классификатору продукции по видам экономической</w:t>
        <w:br/>
        <w:t>деятельности ОК 034-2014 (КПЕС 2008)», или если в объект закупки включен</w:t>
        <w:br/>
        <w:t>товар, наименование которого указано в графе «Наименование товара» и который</w:t>
        <w:br/>
        <w:t>включен в код, указанный в графе «Код товара по Общероссийскому</w:t>
        <w:br/>
        <w:t>классификатору продукции по видам экономической деятельности ОК 034-2014</w:t>
      </w:r>
    </w:p>
    <w:p>
      <w:r>
        <w:t>(КПЕС 2008)». При этом если в объект закупки включено медицинское изделие,</w:t>
        <w:br/>
        <w:t>соответствующая позиция применяется, если закупаемое медицинское изделие</w:t>
        <w:br/>
        <w:t>также относится к указанному в графе «Наименование товара, работы, услуги» или</w:t>
        <w:br/>
        <w:t>графе «Наименование товара» коду вида медицинского изделия в соответствии с</w:t>
        <w:br/>
        <w:t>номенклатурной классификацией медицинских изделий, утвержденной</w:t>
        <w:br/>
        <w:t>Министерством здравоохранения Российской Федерации.</w:t>
        <w:br/>
        <w:t>Также представитель Заказчика пояснил, что в позицию 388 Приложения № 2</w:t>
        <w:br/>
        <w:t>Постановления № 1875 включены следующие товары:</w:t>
        <w:br/>
        <w:t>Боры зубные твердосплавные; головки стоматологические алмазные, в том</w:t>
        <w:br/>
        <w:t>числе фасонные; емкости для взятия, хранения и транспортировки биологических</w:t>
        <w:br/>
        <w:t>проб для выполнения клинических лабораторных исследований, а именно</w:t>
        <w:br/>
        <w:t>2025-15104</w:t>
        <w:br/>
        <w:t>8</w:t>
        <w:br/>
        <w:t>пробирки для взятия капиллярной крови, емкости для мочи, кала и мокроты;</w:t>
        <w:br/>
        <w:t>зеркала гинекологические полимерные по Куско; зонды урогенитальные;</w:t>
        <w:br/>
        <w:t>иглодержатели микрохирургические; инструменты вспомогательные;</w:t>
        <w:br/>
        <w:t>инструменты зондирующие, бужирующие; инструменты многоповерхностного</w:t>
        <w:br/>
        <w:t>воздействия; инструменты оттесняющие; инструменты режущие и ударные с</w:t>
        <w:br/>
        <w:t>острой (режущей) кромкой; каналонаполнители; микромоторы пневматические для</w:t>
        <w:br/>
        <w:t>наконечников стоматологических; модули медицинские климатизированные</w:t>
        <w:br/>
        <w:t>(чистое помещение); наборы гинекологические смотровые одноразовые</w:t>
        <w:br/>
        <w:t>стерильные; наконечники для микромоторов; наконечники стоматологические</w:t>
        <w:br/>
        <w:t>турбинные; ножницы микрохирургические; пинцеты микрохирургические;</w:t>
        <w:br/>
        <w:t>пульпоэкстракторы; фрезы зуботехнические; иглы корневые.</w:t>
        <w:br/>
        <w:t>Коды ОКПД 2: 22.29.29.130; 22.29.29.190; 32.50.11.110; 32.50.11.190;</w:t>
        <w:br/>
        <w:t>32.50.13.110; 32.50.13.121; 32.50.13.131; 32.50.13.132; 32.50.13.139; 32.50.13.190;</w:t>
        <w:br/>
        <w:t>32.50.22.140; 32.50.50.110; 32.50.50.190.</w:t>
        <w:br/>
        <w:t>При этом, в описании позиции кода КТРУ 32.50.13.110-00005628 Зонд</w:t>
        <w:br/>
        <w:t>справочно представлены несколько НКМИ: 157910 – Зонд назоэнтеральный;</w:t>
        <w:br/>
        <w:t>169450 – Зонд назогастрального питания; 169460 – Зонд</w:t>
        <w:br/>
        <w:t>назогастральный/орогастральный; 169520 – Зонд назогастральный</w:t>
        <w:br/>
        <w:t>декомпрессионный. Ни один из данных видов медицинского изделия не</w:t>
        <w:br/>
        <w:t>соотносится с позицией № 388 «инструменты зондирующие, бужирующие»</w:t>
        <w:br/>
        <w:t>наименованием товара, либо наименованием товара коду вида медицинского</w:t>
        <w:br/>
        <w:t>изделия, как и предписывает пп. «д» п.4 Постановления № 1875, поскольку</w:t>
        <w:br/>
        <w:t>согласно описанию требований Технических характеристик медицинского изделия,</w:t>
        <w:br/>
        <w:t>требующегося Заказчику, указана следующая характеристика: Назначение –</w:t>
        <w:br/>
        <w:t>Питательный. Наиболее подходящее по данному признаку медицинское изделие со</w:t>
        <w:br/>
        <w:t>следующим кодом НКМИ:</w:t>
        <w:br/>
        <w:t>169450 - Зонд назогастрального питания:</w:t>
        <w:br/>
        <w:t>«Стерильный тонкий гибкий полый цилиндр, предназначенный для доступа в</w:t>
      </w:r>
    </w:p>
    <w:p>
      <w:r>
        <w:t>желудок пациента через нос и носоглотку, в первую очередь, для обеспечения</w:t>
        <w:br/>
        <w:t>энтерального питания и введения лекарственных средств либо за счет силы</w:t>
        <w:br/>
        <w:t>тяжести, либо с помощью насоса; изделие также может использоваться для</w:t>
        <w:br/>
        <w:t>аспирации содержимого желудка (например, желудочных секреций). Как правило,</w:t>
        <w:br/>
        <w:t>это однопросветная резиновая или пластиковая трубка с различными диаметрами</w:t>
        <w:br/>
        <w:t>(обычно меньшими, чем диаметр назогастральных зондов, которые, в первую</w:t>
        <w:br/>
        <w:t>очередь, предназначаются для декомпрессии) с обозначениями по кругу для</w:t>
        <w:br/>
        <w:t>облегчения процесса введения. Зачастую используется у тяжелобольных и</w:t>
        <w:br/>
        <w:t>пациентов, находящихся в состоянии комы. Это изделие для одноразового</w:t>
        <w:br/>
        <w:t>использования».</w:t>
        <w:br/>
        <w:t>Также представитель Заказчика добавил, что в соответствии с ГОСТ 25725-89</w:t>
        <w:br/>
        <w:t>«Инструменты медицинские. Термины и определения»:</w:t>
        <w:br/>
        <w:t>2025-15104</w:t>
        <w:br/>
        <w:t>9</w:t>
        <w:br/>
        <w:t>П. 99 Медицинский зонд - зондирующий медицинский инструмент с</w:t>
        <w:br/>
        <w:t>закругленными краями для определения размеров и направления раневого канала,</w:t>
        <w:br/>
        <w:t>наличия в нем инородных тел и для исследования проходимости органов.</w:t>
        <w:br/>
        <w:t>П. 100 Буж – бужирующий медицинский инструмент цилиндрической формы</w:t>
        <w:br/>
        <w:t>с закругленным прямым или изогнутым рабочим концом, предназначенный для</w:t>
        <w:br/>
        <w:t>механического расширения структур в уретре путем последовательного введения в</w:t>
        <w:br/>
        <w:t>нее бужей повышающегося калибра, для тоннелизации уретры и для бужирования</w:t>
        <w:br/>
        <w:t>передней и задней уретры.</w:t>
        <w:br/>
        <w:t>Таким образом, ввиду того, что требуемое Заказчику к поставке медицинское</w:t>
        <w:br/>
        <w:t>изделий не применяется для исследований либо для расширения структур в уретре,</w:t>
        <w:br/>
        <w:t>следовательно соотнести требуемое медицинское изделие к определениям</w:t>
        <w:br/>
        <w:t>инструменты зондирующие, бужирующие не представляется возможным,</w:t>
        <w:br/>
        <w:t>поскольку требуемое к поставке медицинское изделие применяется для</w:t>
        <w:br/>
        <w:t>обеспечения энтерального питания и введения лекарственных средств &lt;…&gt;;</w:t>
        <w:br/>
        <w:t>изделие также может использоваться для аспирации содержимого желудка</w:t>
        <w:br/>
        <w:t>(например, желудочных секреций), и не предназначено для проведения</w:t>
        <w:br/>
        <w:t>исследований.</w:t>
        <w:br/>
        <w:t>В свою очередь, Комиссия Управления обращает внимание на следующее.</w:t>
        <w:br/>
        <w:t>В перечне Приложения №2 к Постановлению №1875 установлено следующее.</w:t>
        <w:br/>
        <w:t>Пункт 388 Приложения №2 к Постановлению №1875 содержит</w:t>
        <w:br/>
        <w:t>наименование: «Боры зубные твердосплавные; головки стоматологические</w:t>
        <w:br/>
        <w:t>алмазные, в том числе фасонные; емкости для взятия, хранения и транспортировки</w:t>
        <w:br/>
        <w:t>биологических проб для выполнения клинических лабораторных исследований, а</w:t>
      </w:r>
    </w:p>
    <w:p>
      <w:r>
        <w:t>именно пробирки для взятия капиллярной крови, емкости для мочи, кала и</w:t>
        <w:br/>
        <w:t>мокроты; зеркала гинекологические полимерные по Куско; зонды урогенитальные;</w:t>
        <w:br/>
        <w:t>иглодержатели микрохирургические; инструменты вспомогательные;</w:t>
        <w:br/>
        <w:t>инструменты зондирующие, бужирующие ; инструменты многоповерхностного</w:t>
        <w:br/>
        <w:t>воздействия; инструменты оттесняющие; инструменты режущие и ударные с</w:t>
        <w:br/>
        <w:t>острой (режущей) кромкой; каналонаполнители; микромоторы пневматические для</w:t>
        <w:br/>
        <w:t>наконечников стоматологических; модули медицинские климатизированные</w:t>
        <w:br/>
        <w:t>(чистое помещение); наборы гинекологические смотровые одноразовые</w:t>
        <w:br/>
        <w:t>стерильные; наконечники для микромоторов; наконечники стоматологические</w:t>
        <w:br/>
        <w:t>турбинные; ножницы микрохирургические; пинцеты микрохирургические;</w:t>
        <w:br/>
        <w:t>пульпоэкстракторы; фрезы зуботехнические; иглы корневые» с указанием кода</w:t>
        <w:br/>
        <w:t>ОКПД2, в том числе, 32.50.13.110 «Шприцы, иглы, катетеры, канюли и</w:t>
        <w:br/>
        <w:t>аналогичные инструменты».</w:t>
        <w:br/>
        <w:t>В соответствии с пп. «д» п. 4 Постановления №1875 позиции приложения №1</w:t>
        <w:br/>
        <w:t>и приложения №2 к данному Постановлению применяются, если в объект закупки</w:t>
        <w:br/>
        <w:t>включены товар, работа, услуга, наименования которых указаны в графе</w:t>
        <w:br/>
        <w:t>«Наименование товара, работы, услуги» и которые включены в код, указанный в</w:t>
        <w:br/>
        <w:t>графе «Код товара, работы, услуги по Общероссийскому классификатору</w:t>
        <w:br/>
        <w:t>продукции по видам экономической деятельности ОК 034-2014 (КПЕС 2008)», или</w:t>
        <w:br/>
        <w:t>если в объект закупки включен товар, наименование которого указано в графе</w:t>
        <w:br/>
        <w:t>2025-15104</w:t>
        <w:br/>
        <w:t>10</w:t>
        <w:br/>
        <w:t>«Наименование товара» и который включен в код, указанный в графе «Код товара</w:t>
        <w:br/>
        <w:t>по Общероссийскому классификатору продукции по видам экономической</w:t>
        <w:br/>
        <w:t>деятельности ОК 034-2014 (КПЕС 2008)». При этом, если в объект закупки</w:t>
        <w:br/>
        <w:t>включено медицинское изделие, соответствующая позиция применяется, если</w:t>
        <w:br/>
        <w:t>закупаемое медицинское изделие также относится к указанному в графе</w:t>
        <w:br/>
        <w:t>«Наименование товара, работы, услуги» или графе «Наименование товара» коду</w:t>
        <w:br/>
        <w:t>вида медицинского изделия в соответствии с номенклатурной классификацией</w:t>
        <w:br/>
        <w:t>медицинских изделий, утвержденной Министерством здравоохранения Российской</w:t>
        <w:br/>
        <w:t>Федерации.</w:t>
        <w:br/>
        <w:t>Исходя из буквального толкования вышеуказанного, Постановление №1875</w:t>
        <w:br/>
        <w:t>применяется, если объект закупки соответствует наименованию и коду товара (или</w:t>
        <w:br/>
        <w:t>работы, услуги) в приложениях 1 и 2, а для медицинских изделий - также и коду</w:t>
        <w:br/>
        <w:t>вида согласно номенклатурной классификации, утвержденной Минздравом.</w:t>
        <w:br/>
        <w:t>Кроме того, в соответствии с пунктами 3.2, 3.3 информационного письма</w:t>
        <w:br/>
        <w:t>Минфина России от 31.01.2025 № 24-01-06/8697 «О применении положений</w:t>
      </w:r>
    </w:p>
    <w:p>
      <w:r>
        <w:t>постановления Правительства Российской Федерации от 23 декабря 2024 г.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при</w:t>
        <w:br/>
        <w:t>применении Постановления № 1875 не предусматривается обеспечение дословного</w:t>
        <w:br/>
        <w:t>соответствия наименований, указанных в описании объекта закупки (предмета</w:t>
        <w:br/>
        <w:t>закупки), наименованиям, указанным в перечнях № 1 - № 3.</w:t>
        <w:br/>
        <w:t>Таким образом, ввиду классификации медицинских инструментов, а также с</w:t>
        <w:br/>
        <w:t>учетом назначения и характеристик рассматриваемых медицинских изделий</w:t>
        <w:br/>
        <w:t>Комиссия Управления считает, что оспариваемые изделия, в частности «Зонд»</w:t>
        <w:br/>
        <w:t>являются зондирующими, бужирующими инструментами, и, следовательно,</w:t>
        <w:br/>
        <w:t>соответствуют п. 388 Перечня Приложения № 2 к Постановлению № 1875, ввиду</w:t>
        <w:br/>
        <w:t>чего Заказчиком неправомерно не установлены ограничения в соответствии с</w:t>
        <w:br/>
        <w:t>Постановлением №1875.</w:t>
        <w:br/>
        <w:t>Кроме того, Комиссия Управления отмечает, что поскольку Заказчиком</w:t>
        <w:br/>
        <w:t>закупаются товары, подпадающие под п. 388 Перечня Приложения № 2 к</w:t>
        <w:br/>
        <w:t>Постановлению № 1875, в силу пп. «г» п.4 Постановления № 1875 Заказчик не</w:t>
        <w:br/>
        <w:t>может включать в предмет одного лота другие товары, не указанные в таких</w:t>
        <w:br/>
        <w:t>позициях, например: п. «Проводник несосудистый общего назначения» с кодом</w:t>
        <w:br/>
        <w:t>КТРУ 32.50.13.190-00007487.</w:t>
        <w:br/>
        <w:t>На основе вышеизложенного, Комиссия Управления приходит к выводу о</w:t>
        <w:br/>
        <w:t>нарушении Заказчиком п.15 ч.1 ст.42, ч.2 ст.14 Закона о контрактной системе при</w:t>
        <w:br/>
        <w:t>формировании извещения о проведении закупочной процедуры,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 ч.</w:t>
        <w:br/>
        <w:t>5 ст. 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2025-15104</w:t>
        <w:br/>
        <w:t>11</w:t>
        <w:br/>
        <w:t>Р Е Ш И Л А:</w:t>
        <w:br/>
        <w:t>1.Признать жалобу ООО «Юрла» на действия НИИ урологии и</w:t>
        <w:br/>
        <w:t>интервенционной радиологии им. Н.А. Лопаткина - филиал ФГБУ «НМИЦ</w:t>
        <w:br/>
        <w:t>радиологии» Минздрава России обоснованной.</w:t>
        <w:br/>
        <w:t>2.Признать в действиях Заказчика нарушение п.15 ч.1 ст.42, ч.2 ст.14 Закона о</w:t>
        <w:br/>
        <w:t>контрактной системе.</w:t>
        <w:br/>
        <w:t>3.Выдать Заказчику обязательное для исполнения предписание</w:t>
      </w:r>
    </w:p>
    <w:p>
      <w:r>
        <w:t>об 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установленным</w:t>
        <w:br/>
        <w:t>гл. 24 АПК РФ.</w:t>
        <w:br/>
        <w:t>Председательствующий А.А. Кутейников</w:t>
        <w:br/>
        <w:t>Члены комиссии:</w:t>
        <w:br/>
        <w:t>Е.Д. Мартьянова</w:t>
        <w:br/>
        <w:t>Э.З. Гугава</w:t>
        <w:br/>
        <w:t>Исп.Мартьянова Е.Д.</w:t>
        <w:br/>
        <w:t>тел.(495) 784-75-05</w:t>
        <w:br/>
        <w:t>2025-15104</w:t>
      </w:r>
    </w:p>
    <w:p>
      <w:pPr>
        <w:pStyle w:val="Heading1"/>
      </w:pPr>
      <w:r>
        <w:t>Предписание</w:t>
      </w:r>
    </w:p>
    <w:p>
      <w:r>
        <w:t>ООО «Юрла»</w:t>
        <w:br/>
        <w:t>79690220694@mail.ru</w:t>
        <w:br/>
        <w:t>НИИ урологии и интервенционной</w:t>
        <w:br/>
        <w:t>радиологии им. Н.А. Лопаткина - филиал</w:t>
        <w:br/>
        <w:t>ФГБУ «НМИЦ радиологии» Минздрава</w:t>
        <w:br/>
        <w:t>России</w:t>
        <w:br/>
        <w:t>gos_zakupki@№mirc.ru</w:t>
        <w:br/>
        <w:t>ООО «РТС-тендер»</w:t>
        <w:br/>
        <w:t>info@rts-tender.ru ko@rts-tender.ru</w:t>
        <w:br/>
        <w:t>ПРЕДПИСАНИЕ</w:t>
        <w:br/>
        <w:t>по делу № 077/06/106-3908/2025 об устранении нарушений</w:t>
        <w:br/>
        <w:t>законодательства о контрактной системе</w:t>
        <w:br/>
        <w:t>01.04.2025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 в</w:t>
        <w:br/>
        <w:t>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Е.Д. Мартьяновой,</w:t>
        <w:br/>
        <w:t>Ведущего специалиста-эксперта отдела обжалования государственных закупок</w:t>
        <w:br/>
        <w:t>Э.З. Гугава,</w:t>
        <w:br/>
        <w:t>на основании решения Комиссии от 01.04.2025 по делу</w:t>
        <w:br/>
        <w:t>№ 077/06/106-3908/2025 , по итогам рассмотрения жалобы ООО «Юрла» (далее —</w:t>
        <w:br/>
        <w:t>Заявитель) на действия НИИ урологии и интервенционной радиологии</w:t>
        <w:br/>
        <w:t>им. Н.А. Лопаткина - филиал ФГБУ «НМИЦ радиологии» Минздрава России (далее —</w:t>
        <w:br/>
        <w:t>Заказчик) при проведении запроса котировок в электронной форме на право заключения</w:t>
        <w:br/>
        <w:t>государственного контракта на поставку медицинских изделий (Закупка</w:t>
        <w:br/>
        <w:t>№ 0373100120525000150) (далее — запрос котировок) в соответствии с Федеральным</w:t>
        <w:br/>
        <w:t>законом от 05.04.2013 №44-ФЗ «О контрактной системе в сфере закупок товаров, работ,</w:t>
        <w:br/>
        <w:t>услуг для обеспечения государственных и муниципальных нужд» (далее – Закон</w:t>
        <w:br/>
        <w:t>о контрактной системе),</w:t>
        <w:br/>
        <w:t>ПРЕДПИСЫВАЕТ:</w:t>
        <w:br/>
        <w:t>1. Заказчику, Котировочной комиссии отменить протокол подведения итогов</w:t>
        <w:br/>
        <w:t>определения поставщика (подрядчика, исполнителя) в случае его наличия.</w:t>
        <w:br/>
        <w:t>2. Заказчику:</w:t>
        <w:br/>
        <w:t>- привести извещение о проведении запроса котировок в электронной форме в</w:t>
        <w:br/>
        <w:t>соответствие с требованиями Закона о контрактной системе и с учетом решения</w:t>
        <w:br/>
        <w:t>2025-15150</w:t>
        <w:br/>
        <w:t>2</w:t>
        <w:br/>
        <w:t>от 01.04.2025 по делу № 077/06/106-3908/2025 , а также разместить соответствующее</w:t>
        <w:br/>
        <w:t>извещение на Официальном сайте Российской Федерации в</w:t>
        <w:br/>
        <w:t>информационнотелекоммуникационной сети «Интернет» для размещения информации о</w:t>
        <w:br/>
        <w:t>размещении заказов на поставки товаров, выполнение работ, оказание услуг</w:t>
        <w:br/>
        <w:t>www.zakupki.gov.ru;</w:t>
        <w:br/>
        <w:t>- назначить новую дату окончания подачи котировочных заявок, дату и время начала</w:t>
        <w:br/>
        <w:t>подачи котировочных заявок, а также разместить на Официальном сайте информацию об</w:t>
        <w:br/>
        <w:t>указанных датах. При этом срок подачи заявок на участие в запросе котировок должен</w:t>
        <w:br/>
        <w:t>быть установлен в соответствии с ч.4 ст.42 Закона о контрактной системе.</w:t>
        <w:br/>
        <w:t>3. Оператору электронной площадки обеспечить возможность Заказчику,</w:t>
      </w:r>
    </w:p>
    <w:p>
      <w:r>
        <w:t>котировочной комиссии исполнения пунктов 1, 2 настоящего предписания.</w:t>
        <w:br/>
        <w:t>4. Заказчику в срок до 05.05.2025 представить в Московское УФАС России</w:t>
        <w:br/>
        <w:t>подтверждение исполнения настоящего предписания в письменном виде, а также по</w:t>
        <w:br/>
        <w:t>факсимильной связи (8(495) 607-42-92) или 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 членом</w:t>
        <w:br/>
        <w:t>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 на</w:t>
        <w:br/>
        <w:t>должностных лиц в размере пятидесяти тысяч рублей; на юридических лиц - пятисот</w:t>
        <w:br/>
        <w:t>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01.04.2025 по делу №077/06/106-3908/2025 может быть</w:t>
        <w:br/>
        <w:t>обжаловано в судебном порядке в Арбитражном суде г. Москвы в течение 3 (трех) месяцев</w:t>
        <w:br/>
        <w:t>с даты его принятия в порядке, установленным главой 24 Арбитражного процессуального</w:t>
        <w:br/>
        <w:t>кодекса Российской Федерации.</w:t>
        <w:br/>
        <w:t>ПредседательствующийА.А. Кутейников</w:t>
        <w:br/>
        <w:t>Члены комиссии:</w:t>
        <w:br/>
        <w:t>Е.Д. Мартьянова</w:t>
        <w:br/>
        <w:t>Э.З. Гугава</w:t>
        <w:br/>
        <w:t>Исп.Мартьянова Е.Д.тел.(495) 784-75-05</w:t>
        <w:br/>
        <w:t>2025-15150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