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202500187298002480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24.04.2025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0848300047225000325</w:t>
      </w:r>
    </w:p>
    <w:p>
      <w:r>
        <w:rPr>
          <w:b/>
        </w:rPr>
        <w:t xml:space="preserve">Заказчик: </w:t>
      </w:r>
      <w:r>
        <w:t>Муниципальное бюджетное учреждение «Многофункциональный центр предоставления государственных и муниципальных услуг городского округа Красногорск»</w:t>
      </w:r>
    </w:p>
    <w:p>
      <w:r>
        <w:rPr>
          <w:b/>
        </w:rPr>
        <w:t xml:space="preserve">Заявитель: </w:t>
      </w:r>
      <w:r>
        <w:t>ООО «КМ северо-запад»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https://zakupki.gov.ru/epz/complaint/card/complaint-information.html?complaintNumber=202500187298002480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Муниципальное бюджетное учреждение «Многофункциональный центр предоставления государственных и муниципальных услуг городского округа Красногорск»</w:t>
      </w:r>
    </w:p>
    <w:p>
      <w:r>
        <w:t>pik@mdkmr.ru</w:t>
      </w:r>
    </w:p>
    <w:p>
      <w:r>
        <w:t>Уполномоченное учреждение:</w:t>
      </w:r>
    </w:p>
    <w:p>
      <w:r>
        <w:t>Муниципальное казенное учреждение «Красногорский центр торгов»</w:t>
      </w:r>
    </w:p>
    <w:p>
      <w:r>
        <w:t>mkukct@yandex.ru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«КМ Северо-Запад»</w:t>
      </w:r>
    </w:p>
    <w:p>
      <w:r>
        <w:t>kmsevero-zapad@yandex.ru</w:t>
      </w:r>
    </w:p>
    <w:p>
      <w:r>
        <w:t>РЕШЕНИЕ</w:t>
      </w:r>
    </w:p>
    <w:p>
      <w:r>
        <w:t>по делу № 050/06/105-14401/2025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25.04.2025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«КМ Северо-Запад» (далее – Заявитель) на действия (бездействие) Муниципального бюджетного учреждения «Многофункциональный центр предоставления государственных и муниципальных услуг городского округа Красногорск» (далее – Заказчик), Муниципального казенного учреждения «Красногорский центр торгов»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моноблоков для нужд МБУ «МФЦ г.о. Красногорск» в 2025 году (извещение № 0848300047225000325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Уполномоченным учреждением,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11.04.2025;</w:t>
      </w:r>
    </w:p>
    <w:p>
      <w:r>
        <w:t>2) начальная (максимальная) цена контракта – 2 617 899,90 рублей;</w:t>
      </w:r>
    </w:p>
    <w:p>
      <w:r>
        <w:t>3) дата окончания подачи заявок – 21.04.2025;</w:t>
      </w:r>
    </w:p>
    <w:p>
      <w:r>
        <w:t>4) на участие в Аукционе подано 5 заявок от участников закупки, признанные соответствующими требованиям извещения о проведении Аукциона.</w:t>
      </w:r>
    </w:p>
    <w:p>
      <w:r>
        <w:t>1. Согласно доводу жалобы Заявителя, Заказчиком в структурированной форме извещения о проведении Аукциона и в Техническом задании допущены разночтения в части установления товаров и характеристик товаров.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извещению о проведении Аукциона предметом закупки является поставка моноблоков для нужд МБУ «МФЦ г.о. Красногорск» в 2025 году.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поставляемого товара «Компьютер персональный настольный (моноблок)», в том числе следующие:</w:t>
      </w:r>
    </w:p>
    <w:p>
      <w:r>
        <w:t>- по показателю «Максимальный объем оперативной памяти» установлено значение «≥ 64»;</w:t>
      </w:r>
    </w:p>
    <w:p>
      <w:r>
        <w:t>- по показателю «Диагональ экрана» установлено значение «≥ 23»;</w:t>
      </w:r>
    </w:p>
    <w:p>
      <w:r>
        <w:t>- по показателю «Разрешение экрана» установлено значение «≥1920 x 1080»;</w:t>
      </w:r>
    </w:p>
    <w:p>
      <w:r>
        <w:t>- по показателю «Количество ядер процессора» установлено значение «≥ 4»;</w:t>
      </w:r>
    </w:p>
    <w:p>
      <w:r>
        <w:t>- по показателю «Объем накопителя SSD» установлено значение ≥ 120».</w:t>
      </w:r>
    </w:p>
    <w:p>
      <w:r>
        <w:t>При этом, Заказчиком в Техническом задании установлено требования к техническим характеристикам товара «Компьютер персональный настольный (моноблок)», в том числе следующие:</w:t>
      </w:r>
    </w:p>
    <w:p>
      <w:r>
        <w:t>«Между системным блоком и базовой системой ввода-вывода (BIOS) должна быть технологическая и функциональная связь.</w:t>
      </w:r>
    </w:p>
    <w:p>
      <w:r>
        <w:t>Базовая система ввода-вывода (BIOS) должна быть зарегистрирована в Едином реестре российских программ для электронных вычислительных машин и баз данных.</w:t>
      </w:r>
    </w:p>
    <w:p>
      <w:r>
        <w:t>Базовая система ввода-вывода (BIOS) должна быть русифицирована и удовлетворять следующим требованиям:</w:t>
      </w:r>
    </w:p>
    <w:p>
      <w:r>
        <w:t>4.1. Иметь модульную структуру;</w:t>
      </w:r>
    </w:p>
    <w:p>
      <w:r>
        <w:t>4.2. Предусматривать процедуру контроля целостности самой себя посредством удостоверения каждого модуля BIOS контрольной суммой;</w:t>
      </w:r>
    </w:p>
    <w:p>
      <w:r>
        <w:t>4.3. Исключать возможность несанкционированного внесения изменений в состав модулей BIOS;</w:t>
      </w:r>
    </w:p>
    <w:p>
      <w:r>
        <w:t>4.4. Иметь поддержку клавиатуры и мыши для настройки BIOS;</w:t>
      </w:r>
    </w:p>
    <w:p>
      <w:r>
        <w:t>4.5. Иметь поддержку на уровне BIOS защиты информации, хранящейся на ATA-дисках, паролем;</w:t>
      </w:r>
    </w:p>
    <w:p>
      <w:r>
        <w:t>4.6. Иметь встроенные функции для возможности интеграции дополнительных модулей в UEFI BIOS;</w:t>
      </w:r>
    </w:p>
    <w:p>
      <w:r>
        <w:t>4.7. Иметь возможность загрузки и хранения цифровых сертификатов безопасности (CA, TLS);</w:t>
      </w:r>
    </w:p>
    <w:p>
      <w:r>
        <w:t>4.8. Иметь возможность индивидуального отключения каждого USB порта;</w:t>
      </w:r>
    </w:p>
    <w:p>
      <w:r>
        <w:t>4.9. Иметь возможность индивидуального отключения каждого порта PCI/PCI-Express;</w:t>
      </w:r>
    </w:p>
    <w:p>
      <w:r>
        <w:t>4.10. Иметь возможность индивидуального отключения каждого порта SATA;</w:t>
      </w:r>
    </w:p>
    <w:p>
      <w:r>
        <w:t>4.11. Иметь возможность запрета подключения любых USB устройств, кроме устройств типа клавиатура и мышь».</w:t>
      </w:r>
    </w:p>
    <w:p>
      <w:pPr>
        <w:pStyle w:val="Heading2"/>
      </w:pPr>
      <w:r>
        <w:t>мотивировочная часть</w:t>
      </w:r>
    </w:p>
    <w:p>
      <w:r>
        <w:t>Изучив документы и сведения, размещенные на Официальном сайте, Комиссия приходит к выводу, что Заказчиком в структурированной форме извещения о проведении Аукциона и Техническим заданием допущены разночтения в части установления технических характеристик товаров, что вводит участников закупки в заблуждение и не позволяет надлежащим образом заполнить заявку на участие в Аукционе.</w:t>
      </w:r>
    </w:p>
    <w:p>
      <w:r>
        <w:t>Таким образом, действия Заказчика нарушают пункт 5 части 1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2. Согласно доводу жалобы Заявителя, Заказчиком в извещении о проведении Аукциона не установлен запрет на допуск программного обеспечения, происходящего из иностранных государств, в соответствии с постановлением Правительства Российской Федерации от Постановление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В соответствии с частью 3 статьи 14 Закона о контрактной системе принятие Правительством Российской Федерации мер, предусмотренных пунктом 1 части 2 настоящей статьи,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Согласно части 4 статьи 14 Закона о контрактной системе при осуществлении закупки товара:</w:t>
      </w:r>
    </w:p>
    <w:p>
      <w:r>
        <w:t>1) если Правительством Российской Федерации установлен предусмотренный подпунктом «а» пункта 1 части 2 настоящей статьи запрет закупок товара:</w:t>
      </w:r>
    </w:p>
    <w:p>
      <w:r>
        <w:t>а) заявка на участие в закупке, содержащая предложение о поставке такого товара, происходящего из иностранного государства, подлежит отклонению в соответствии с настоящим Федеральным законом;</w:t>
      </w:r>
    </w:p>
    <w:p>
      <w:r>
        <w:t>б) заключение контракта на поставку такого товара, происходящего из иностранного государства, с единственным поставщиком не допускается;</w:t>
      </w:r>
    </w:p>
    <w:p>
      <w:r>
        <w:t>в) при исполнении контракта замена такого товара на происходящий из иностранного государства товар, в отношении которого установлен данный запрет, не допускается;</w:t>
      </w:r>
    </w:p>
    <w:p>
      <w:r>
        <w:t>2) если Правительством Российской Федерации установлено предусмотренное подпунктом «б» пункта 1 части 2 настоящей статьи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3) если Правительством Российской Федерации установлено предусмотренное подпунктом «в»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«б»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"а" настоящего пункта, контракт заключается без учета осуществленных в соответствии с подпунктом «а»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В соответствии с пунктом 1 Постановления № 1875 устанавливаются:</w:t>
      </w:r>
    </w:p>
    <w:p>
      <w:r>
        <w:t>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в) 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В соответствии с 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г) для подтверждения происхождения программ для электронных вычислительных машин и (или) баз данных, указанных в позиции 146 приложения № 1 к настоящему постановлению, из Российской Федерации – порядковый номер реестровой записи из единого реестра российских программ для электронных вычислительных машин и баз данных;</w:t>
      </w:r>
    </w:p>
    <w:p>
      <w:r>
        <w:t>д) для подтверждения происхождения программного обеспечения, указанного в позиции 146 приложения № 1 к настоящему постановлению, из Российской Федерации и его соответствия дополнительным требованиям к программам для электронных вычислительных машин и базам данных, сведения о которых включены в реестр российского программного обеспечения, утвержденным постановлением Правительства Российской Федерации от 23 марта 2017 г. № 325 «Об утверждении дополнительных требований к программам для электронных вычислительных машин и базам данных, сведения о которых включены в реестр российского программного обеспечения, и внесении изменений в Правила формирования и ведения единого реестра российских программ для электронных вычислительных машин и баз данных», – порядковый номер реестровой записи из реестра российского программного обеспечения, содержащей информацию о соответствии программного обеспечения дополнительным требованиям к программному обеспечению;</w:t>
      </w:r>
    </w:p>
    <w:p>
      <w:r>
        <w:t>е) для подтверждения происхождения программного обеспечения, указанного в позиции 146 приложения № 1 к настоящему постановлению, из государств – членов Евразийского экономического союза, за исключением Российской Федерации, – порядковый номер реестровой записи из единого реестра программ для электронных вычислительных машин и баз данных из государств – членов Евразийского экономического союза, за исключением Российской Федерации;</w:t>
      </w:r>
    </w:p>
    <w:p>
      <w:r>
        <w:t>ж) для подтверждения происхождения программного обеспечения, указанного в позиции 146 приложения № 1 к настоящему постановлению, из государств – членов Евразийского экономического союза, за исключением Российской Федерации, и его соответствия дополнительным требованиям к программному обеспечению – порядковый номер реестровой записи из реестра евразийского программного обеспечения, содержащей информацию о соответствии программного обеспечения дополнительным требованиям к программному обеспечению.</w:t>
      </w:r>
    </w:p>
    <w:p>
      <w:r>
        <w:t>Согласно извещению о проведении Аукциона, объектом закупки является поставка моноблоков для нужд МБУ «МФЦ го Красногорск» в 2025 году.</w:t>
      </w:r>
    </w:p>
    <w:p>
      <w:r>
        <w:t>В описании объекта закупки установлен перечень поставляемого товара, в состав которых включены требования, в том числе к программному обеспечению BIOS.</w:t>
      </w:r>
    </w:p>
    <w:p>
      <w:r>
        <w:t>При этом, на заседании Комиссии установлено, что в извещении о проведении Аукциона не установлен запрет на допуск программного обеспечения в соответствии с Постановлением № 1875, что противоречит нормам Закона о контрактной системе.</w:t>
      </w:r>
    </w:p>
    <w:p>
      <w:r>
        <w:t>Таким образом, действия Заказчика нарушают части 2 статьи 14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«КМ Северо-Запад» обоснованной.</w:t>
      </w:r>
    </w:p>
    <w:p>
      <w:r>
        <w:t>Признать в действиях Заказчика нарушение части 2 статьи 14, пункта 5 части 1 статьи 42 Закона о контрактной системе.</w:t>
      </w:r>
    </w:p>
    <w:p>
      <w:r>
        <w:t>Заказчику, Уполномоченному учреждению,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25.04.2025 № 050/06/105-14401/2025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7</w:t>
      </w:r>
    </w:p>
    <w:p>
      <w:r>
        <w:t>8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Муниципальное бюджетное учреждение «Многофункциональный центр предоставления государственных и муниципальных услуг городского округа Красногорск»</w:t>
      </w:r>
    </w:p>
    <w:p>
      <w:r>
        <w:t>pik@mdkmr.ru</w:t>
      </w:r>
    </w:p>
    <w:p>
      <w:r>
        <w:t>Уполномоченное учреждение:</w:t>
      </w:r>
    </w:p>
    <w:p>
      <w:r>
        <w:t>Муниципальное казенное учреждение «Красногорский центр торгов»</w:t>
      </w:r>
    </w:p>
    <w:p>
      <w:r>
        <w:t>mkukct@yandex.ru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«КМ Северо-Запад»</w:t>
      </w:r>
    </w:p>
    <w:p>
      <w:r>
        <w:t>kmsevero-zapad@yandex.ru</w:t>
      </w:r>
    </w:p>
    <w:p>
      <w:r>
        <w:t>ПРЕДПИСАНИЕ</w:t>
      </w:r>
    </w:p>
    <w:p>
      <w:r>
        <w:t>по делу № 050/06/105-14401/2025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25.04.2025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25.04.2025 № 050/06/105-14401/2025, принятого Комиссией по итогам рассмотрения жалобы ООО «КМ Северо-Запад» (далее – Заявитель) на действия (бездействие) Муниципального бюджетного учреждения «Многофункциональный центр предоставления государственных и муниципальных услуг городского округа Красногорск» (далее – Заказчик), Муниципального казенного учреждения «Красногорский центр торгов»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моноблоков для нужд МБУ «МФЦ г.о. Красногорск» в 2025 году (извещение № 0848300047225000325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Уполномоченному учреждению,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Заказчику, Уполномоченному учреждению: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25.04.2025 № 050/06/105-14401/2025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Уполномоченному учреждению,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25.04.2025 № 050/06/105-14401/2025.</w:t>
      </w:r>
    </w:p>
    <w:p>
      <w:r>
        <w:t>6. Заказчику, Уполномоченному учреждению, Аукционной комиссии, Оператору электронной площадки в срок до 13.05.2025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