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202500187298003652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17.06.2025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0348100045925000061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здравоохранения «Медико-санитарная часть № 154 федерального медико-биологического агентства»</w:t>
      </w:r>
    </w:p>
    <w:p>
      <w:r>
        <w:rPr>
          <w:b/>
        </w:rPr>
        <w:t xml:space="preserve">Заявитель: </w:t>
      </w:r>
      <w:r>
        <w:t>ООО «Фортуна трейд»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https://zakupki.gov.ru/epz/complaint/card/complaint-information.html?complaintNumber=202500187298003652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Федеральное государственное бюджетное учреждение здравоохранения «Медико-санитарная часть № 154 федерального медико-биологического агентства»</w:t>
      </w:r>
    </w:p>
    <w:p>
      <w:r>
        <w:t>MSCh154zakupki@mail.ru</w:t>
      </w:r>
    </w:p>
    <w:p>
      <w:r>
        <w:t>Оператор электронной площадки:</w:t>
      </w:r>
    </w:p>
    <w:p>
      <w:r>
        <w:t>АО «ЕЭТП»</w:t>
      </w:r>
    </w:p>
    <w:p>
      <w:r>
        <w:t>60-я Октября пр., д.9,</w:t>
      </w:r>
    </w:p>
    <w:p>
      <w:r>
        <w:t>Москва, 117312</w:t>
      </w:r>
    </w:p>
    <w:p>
      <w:r>
        <w:t>info@roseltorg.ru</w:t>
      </w:r>
    </w:p>
    <w:p>
      <w:r>
        <w:t>Заявитель:</w:t>
      </w:r>
    </w:p>
    <w:p>
      <w:r>
        <w:t>ООО «ФОРТУНА ТРЕЙД»</w:t>
      </w:r>
    </w:p>
    <w:p>
      <w:r>
        <w:t>3316706@mail.ru</w:t>
      </w:r>
    </w:p>
    <w:p>
      <w:r>
        <w:t>РЕШЕНИЕ</w:t>
      </w:r>
    </w:p>
    <w:p>
      <w:r>
        <w:t>по делу № 050/06/105-21286/2025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19.06.2025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Комиссия),</w:t>
      </w:r>
    </w:p>
    <w:p>
      <w:pPr>
        <w:pStyle w:val="Heading2"/>
      </w:pPr>
      <w:r>
        <w:t>описательная часть</w:t>
      </w:r>
    </w:p>
    <w:p>
      <w:r>
        <w:t>рассмотрев жалобу ООО «ФОРТУНА ТРЕЙД» (далее – Заявитель) на действия (бездействие) Федерального государственного бюджетного учреждения здравоохранения «Медико-санитарная часть № 154 федерального медико-биологического агентства» (далее – Заказчик) при определении поставщика (подрядчика, исполнителя) путем проведения ЭТП ТЭК-Торг (далее – Оператор электронной площадки) электронного аукциона на поставку продуктов питания в 2025 году для нужд ФГБУЗ МСЧ № 154 ФМБА России (Лот №3) (извещение № 0348100045925000061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</w:t>
      </w:r>
    </w:p>
    <w:p>
      <w:r>
        <w:t>УСТАНОВИЛА:</w:t>
      </w:r>
    </w:p>
    <w:p>
      <w:r>
        <w:t>В Управление поступила жалоба Заявителя на действия Аукционной комиссии при проведении Заказчиком, Оператором электронной площадки Аукциона.</w:t>
      </w:r>
    </w:p>
    <w:p>
      <w:r>
        <w:t>По мнению Заявителя, его права и законные интересы нарушены действиями Аукционной комиссии в части ненадлежащего рассмотрения заявок участников закупки.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27.05.2025;</w:t>
      </w:r>
    </w:p>
    <w:p>
      <w:r>
        <w:t>2) начальная (максимальная) цена контракта – 1 195 700,00 руб.;</w:t>
      </w:r>
    </w:p>
    <w:p>
      <w:r>
        <w:t>3) дата окончания подачи заявок – 05.06.2025;</w:t>
      </w:r>
    </w:p>
    <w:p>
      <w:r>
        <w:t>4) на участие в Аукционе подано 6 заявок от участников закупки, признанные соответствующими требованиям извещения о проведении Аукциона;</w:t>
      </w:r>
    </w:p>
    <w:p>
      <w:r>
        <w:t>5) по результатам подведения итогов заявка участника закупки с идентификационным номером №2005966 признана победителем Аукциона с предложением о цене контракта 914 710,50 руб. (далее – Победитель).</w:t>
      </w:r>
    </w:p>
    <w:p>
      <w:r>
        <w:t>Согласно доводу жалобы Заявителя, Аукционной комиссией при рассмотрения заявок на участие в закупке неправомерно применено преимущество, предусмотренное положениями 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Постановление № 1875).</w:t>
      </w:r>
    </w:p>
    <w:p>
      <w:r>
        <w:t>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случаях:</w:t>
      </w:r>
    </w:p>
    <w:p>
      <w:r>
        <w:t>1) непредставления (за исключением случаев, предусмотренных настоящим Федеральным законом) участником закупки оператору электронной площадки в заявке на участие в закупке информации и документов, предусмотренных извещением об осуществлении закупки в соответствии с настоящим Федеральным законом (за исключением информации и документов, предусмотренных пунктами 2 и 3 части 6 статьи 43 настоящего Федерального закона), несоответствия таких информации и документов требованиям, установленным в извещении об осуществлении закупки;</w:t>
      </w:r>
    </w:p>
    <w:p>
      <w:r>
        <w:t>2) непредставления информации и документов, предусмотренных пунктами 2 и 3 части 6 статьи 43 настоящего Федерального закона, несоответствия таких информации и документов требованиям, установленным в извещении об осуществлении закупки;</w:t>
      </w:r>
    </w:p>
    <w:p>
      <w:r>
        <w:t>3) несоответствия участника закупки требованиям, установленным в извещении об осуществлении закупки в соответствии с частью 1 статьи 31 настоящего Федерального закона, требованиям, установленным в извещении об осуществлении закупки в соответствии с частями 1.1, 2 и 2.1 (при наличии таких требований) статьи 31 настоящего Федерального закона;</w:t>
      </w:r>
    </w:p>
    <w:p>
      <w:r>
        <w:t>4) предусмотренных нормативными правовыми актами, принятыми в соответствии со статьей 14 настоящего Федерального закона (за исключением случаев непредставления информации и документов, предусмотренных пунктом 5 части 1 статьи 43 настоящего Федерального закона);</w:t>
      </w:r>
    </w:p>
    <w:p>
      <w:r>
        <w:t>5) непредставления информации и документов, предусмотренных пунктом 5 части 1 статьи 43 настоящего Федерального закона, если такие документы предусмотрены нормативными правовыми актами, принятыми в соответствии с частью 3 статьи 14 настоящего Федерального закона (в случае установления в соответствии со статьей 14 настоящего Федерального закона в извещении об осуществлении закупки запрета допуска товаров, происходящих из иностранного государства или группы иностранных государств);</w:t>
      </w:r>
    </w:p>
    <w:p>
      <w:r>
        <w:t>6) выявления отнесения участника закупки к организациям, предусмотренным пунктом 4 статьи 2 Федерального закона от 4 июня 2018 года № 127-ФЗ "О мерах воздействия (противодействия) на недружественные действия Соединенных Штатов Америки и иных иностранных государств", в случае осуществления закупки работ, услуг, включенных в перечень, определенный Правительством Российской Федерации в соответствии с указанным пунктом;</w:t>
      </w:r>
    </w:p>
    <w:p>
      <w:r>
        <w:t>7) предусмотренных частью 6 статьи 45 настоящего Федерального закона;</w:t>
      </w:r>
    </w:p>
    <w:p>
      <w:r>
        <w:t>8) выявления недостоверной информации, содержащейся в заявке на участие в закупке;</w:t>
      </w:r>
    </w:p>
    <w:p>
      <w:r>
        <w:t>9) указания информации о предложении участника закупки, предусмотренном пунктом 3 или пунктом 4 части 1 статьи 43 настоящего Федерального закона.</w:t>
      </w:r>
    </w:p>
    <w:p>
      <w:r>
        <w:t>В соответствии с частью 5 статьи 49 Закона о контрактной системе не позднее двух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установленной в извещении об осуществлении закупки:</w:t>
      </w:r>
    </w:p>
    <w:p>
      <w:r>
        <w:t>1) члены комиссии по осуществлению закупок:</w:t>
      </w:r>
    </w:p>
    <w:p>
      <w:r>
        <w:t>а) рассматривают заявки на участие в закупке, информацию и документы, направленные оператором электронной площадки в соответствии с пунктом 4 части 4 статьи 49 Закона о контрактной системе,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основаниям, предусмотренным пунктами 1 - 8 части 12 статьи 48 Закона о контрактной системе;</w:t>
      </w:r>
    </w:p>
    <w:p>
      <w:r>
        <w:t>б) на основании информации, содержащейся в протоколе подачи ценовых предложений, а также результатов рассмотрения, предусмотренного подпунктом «а» настоящего пункта, присваивают каждой заявке на участие в закупке, признанной соответствующей извещению об осуществлении закупки, порядковый номер в порядке возрастания минимального ценового предложения участника закупки, подавшего такую заявку (за исключением случая, предусмотренного пунктом 9 части 3 статьи 49 Закона о контрактной системе, при котором порядковые номера заявкам участников закупки, подавших ценовые предложения после подачи ценового предложения, предусмотренного абзацем первым пункта 9 части 3 статьи 49 Закона о контрактной системе, присваиваются в порядке убывания размера ценового предложения участника закупки), и с учетом положений нормативных правовых актов, принятых в соответствии со статьей 14 Закона о контрактной системе. Заявке на участие в закупке победителя определения поставщика (подрядчика, исполнителя) присваивается первый номер;</w:t>
      </w:r>
    </w:p>
    <w:p>
      <w:r>
        <w:t>2) заказчик формирует с использованием электронной площадки протокол подведения итогов определения поставщика (подрядчика, исполнителя), который должен содержать информацию, предусмотренную пунктами 1, 2, 4 - 7 части 17 статьи 48 Закона о контрактной системе.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лица, имеющего право действовать от имени заказчика, и направляет оператору электронной площадки.</w:t>
      </w:r>
    </w:p>
    <w:p>
      <w:r>
        <w:t>Согласно пункту 3 части 2 статьи 42 Закона о контрактной системе, извещение об осуществлении закупки должно содержать требования к содержанию, составу заявки на участие в закупке в соответствии с настоящим Федеральным законом и инструкция по ее заполнению.</w:t>
      </w:r>
    </w:p>
    <w:p>
      <w:r>
        <w:t>В соответствии с подпунктом «в» пункта 2 части 1 статьи 43 Закона о контрактной системе для участия в конкурентном способе заявка на участие в закупке, если иное не предусмотрено настоящим Федеральным законом, должна содержать предложение участника закупки в отношении объекта закупки, в том числе документы, подтверждающие соответствие товара, работы или услуги требованиям, установленным в соответствии с законодательством Российской Федерации (в случае, если в соответствии с законодательством Российской Федерации установлены требования к товару, работе или услуге и представление указанных документов предусмотрено извещением об осуществлении закупки, документацией о закупке, если настоящим Федеральным законом предусмотрена документация о закупке). Заказчик не вправе требовать представление указанных документов, если в соответствии с законодательством Российской Федерации они передаются вместе с товаром.</w:t>
      </w:r>
    </w:p>
    <w:p>
      <w:r>
        <w:t>В соответствии с пунктами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частью 4 статьи 14 Закона о контрактной системе при осуществлении закупки товара:</w:t>
      </w:r>
    </w:p>
    <w:p>
      <w:r>
        <w:t>1) если Правительством Российской Федерации установлен предусмотренный подпунктом «а» пункта 1 части 2 настоящей статьи запрет закупок товара:</w:t>
      </w:r>
    </w:p>
    <w:p>
      <w:r>
        <w:t>а) заявка на участие в закупке, содержащая предложение о поставке такого товара, происходящего из иностранного государства, подлежит отклонению в соответствии с настоящим Федеральным законом;</w:t>
      </w:r>
    </w:p>
    <w:p>
      <w:r>
        <w:t>б) заключение контракта на поставку такого товара, происходящего из иностранного государства, с единственным поставщиком не допускается;</w:t>
      </w:r>
    </w:p>
    <w:p>
      <w:r>
        <w:t>в) при исполнении контракта замена такого товара на происходящий из иностранного государства товар, в отношении которого установлен данный запрет, не допускается;</w:t>
      </w:r>
    </w:p>
    <w:p>
      <w:r>
        <w:t>2) если Правительством Российской Федерации установлено предусмотренное подпунктом «б» пункта 1 части 2 настоящей статьи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3) если Правительством Российской Федерации установлено предусмотренное подпунктом «в» пункта 1 части 2 настоящей статьи преимущество в отношении товара российского происхождения:</w:t>
      </w:r>
    </w:p>
    <w:p>
      <w:r>
        <w:t>а) при присвоении в соответствии с подпунктом «б» пункта 1 части 15 статьи 48, подпунктом «б» пункта 1 части 5 статьи 49, подпунктом «б» пункта 1 части 3 статьи 50, подпунктом «в» пункта 1 части 10 статьи 73, пунктом 1 части 5 статьи 74, подпунктом «в» пункта 1 части 9 статьи 75, подпунктом «б» пункта 1 части 5 статьи 76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контракта. При присвоении в соответствии с подпунктом «б» пункта 6 части 12 статьи 93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цены за единицу товара, предложенной участником закупки, подавшим такую заявку;</w:t>
      </w:r>
    </w:p>
    <w:p>
      <w:r>
        <w:t>б) в случае заключения контракта с участником закупки, указанным в подпункте «а» настоящего пункта, контракт заключается без учета осуществленных в соответствии с подпунктом «а» настоящего пункта снижения ценового предложения, цены за единицу товара либо увеличения ценового предложения;</w:t>
      </w:r>
    </w:p>
    <w:p>
      <w:r>
        <w:t>в) при исполнении контракта допускается замена товара (с учетом особенностей, предусмотренных частью 7 статьи 95 настоящего Федерального закона) исключительно на товар российского происхождения, если контракт предусматривает поставку товара российского происхождения.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установлено, что при осуществлении закупок в соответствии с Законом о контрактной системе и закупок в соответствии с Федеральным законом «О закупках товаров, работ, услуг отдельными видами юридических лиц» (далее – Постановление № 1875)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Пунктом 3 Постановление № 1875 установлено, что информацией и документами, подтверждающими страну происхождения товара для целей Постановление № 1875, являются:</w:t>
      </w:r>
    </w:p>
    <w:p>
      <w:r>
        <w:t>а)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«О промышленной политике в Российской Федерации»,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«О подтверждении производства российской промышленной продукции»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«О подтверждении производства российской промышленной продукции»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</w:r>
    </w:p>
    <w:p>
      <w:r>
        <w:t>В соответствии с Протоколом подведения итогов определения поставщика (подрядчика, исполнителя) от 05.06.2025 №ИЭА1 заявки 5 участников закупки признаны соответствующими требованиям извещения о проведении Конкурса и указано в том числе следующее: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Порядковый номер, присвоенный комиссией</w:t>
            </w:r>
          </w:p>
        </w:tc>
        <w:tc>
          <w:tcPr>
            <w:tcW w:type="dxa" w:w="1234"/>
          </w:tcPr>
          <w:p>
            <w:r>
              <w:t>Идентификационный номер заявки</w:t>
            </w:r>
          </w:p>
        </w:tc>
        <w:tc>
          <w:tcPr>
            <w:tcW w:type="dxa" w:w="1234"/>
          </w:tcPr>
          <w:p>
            <w:r>
              <w:t>Дата и время подачи заявки</w:t>
            </w:r>
          </w:p>
        </w:tc>
        <w:tc>
          <w:tcPr>
            <w:tcW w:type="dxa" w:w="1234"/>
          </w:tcPr>
          <w:p>
            <w:r>
              <w:t>Дата и время подачи предложения</w:t>
            </w:r>
          </w:p>
        </w:tc>
        <w:tc>
          <w:tcPr>
            <w:tcW w:type="dxa" w:w="1234"/>
          </w:tcPr>
          <w:p>
            <w:r>
              <w:t>Ценовое предложение (руб)</w:t>
            </w:r>
          </w:p>
        </w:tc>
        <w:tc>
          <w:tcPr>
            <w:tcW w:type="dxa" w:w="1234"/>
          </w:tcPr>
          <w:p>
            <w:r>
              <w:t>Ценовое предложение с учетом преимущества (пп. «а» п. 3 ч. 4 ст. 14 Закона ФЗ-44)</w:t>
            </w:r>
          </w:p>
        </w:tc>
        <w:tc>
          <w:tcPr>
            <w:tcW w:type="dxa" w:w="1234"/>
          </w:tcPr>
          <w:p>
            <w:r>
              <w:t>Снижение, %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№2005966</w:t>
            </w:r>
          </w:p>
        </w:tc>
        <w:tc>
          <w:tcPr>
            <w:tcW w:type="dxa" w:w="1234"/>
          </w:tcPr>
          <w:p>
            <w:r>
              <w:t>04.06.2025 11:36:19 (MCK +0)</w:t>
            </w:r>
          </w:p>
        </w:tc>
        <w:tc>
          <w:tcPr>
            <w:tcW w:type="dxa" w:w="1234"/>
          </w:tcPr>
          <w:p>
            <w:r>
              <w:t>05.06.2025 10:14:22 (MCK +0)</w:t>
            </w:r>
          </w:p>
        </w:tc>
        <w:tc>
          <w:tcPr>
            <w:tcW w:type="dxa" w:w="1234"/>
          </w:tcPr>
          <w:p>
            <w:r>
              <w:t>914 710,50</w:t>
            </w:r>
          </w:p>
        </w:tc>
        <w:tc>
          <w:tcPr>
            <w:tcW w:type="dxa" w:w="1234"/>
          </w:tcPr>
          <w:p>
            <w:r>
              <w:t>777 503,93</w:t>
            </w:r>
          </w:p>
        </w:tc>
        <w:tc>
          <w:tcPr>
            <w:tcW w:type="dxa" w:w="1234"/>
          </w:tcPr>
          <w:p>
            <w:r>
              <w:t>23,50%</w:t>
            </w:r>
          </w:p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№2008000</w:t>
            </w:r>
          </w:p>
        </w:tc>
        <w:tc>
          <w:tcPr>
            <w:tcW w:type="dxa" w:w="1234"/>
          </w:tcPr>
          <w:p>
            <w:r>
              <w:t>04.06.2025 17:21:40 (MCK +0)</w:t>
            </w:r>
          </w:p>
        </w:tc>
        <w:tc>
          <w:tcPr>
            <w:tcW w:type="dxa" w:w="1234"/>
          </w:tcPr>
          <w:p>
            <w:r>
              <w:t>05.06.2025 10:09:18 (MCK +0)</w:t>
            </w:r>
          </w:p>
        </w:tc>
        <w:tc>
          <w:tcPr>
            <w:tcW w:type="dxa" w:w="1234"/>
          </w:tcPr>
          <w:p>
            <w:r>
              <w:t>1 016 345,00</w:t>
            </w:r>
          </w:p>
        </w:tc>
        <w:tc>
          <w:tcPr>
            <w:tcW w:type="dxa" w:w="1234"/>
          </w:tcPr>
          <w:p>
            <w:r>
              <w:t>863 893,25</w:t>
            </w:r>
          </w:p>
        </w:tc>
        <w:tc>
          <w:tcPr>
            <w:tcW w:type="dxa" w:w="1234"/>
          </w:tcPr>
          <w:p>
            <w:r>
              <w:t>15,00%</w:t>
            </w:r>
          </w:p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№2006033</w:t>
            </w:r>
          </w:p>
        </w:tc>
        <w:tc>
          <w:tcPr>
            <w:tcW w:type="dxa" w:w="1234"/>
          </w:tcPr>
          <w:p>
            <w:r>
              <w:t>04.06.2025 21:53:31 (MCK +0)</w:t>
            </w:r>
          </w:p>
        </w:tc>
        <w:tc>
          <w:tcPr>
            <w:tcW w:type="dxa" w:w="1234"/>
          </w:tcPr>
          <w:p>
            <w:r>
              <w:t>05.06.2025 10:20:12 (MCK +0)</w:t>
            </w:r>
          </w:p>
        </w:tc>
        <w:tc>
          <w:tcPr>
            <w:tcW w:type="dxa" w:w="1234"/>
          </w:tcPr>
          <w:p>
            <w:r>
              <w:t>884 818,00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26,00%</w:t>
            </w:r>
          </w:p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№2010442</w:t>
            </w:r>
          </w:p>
        </w:tc>
        <w:tc>
          <w:tcPr>
            <w:tcW w:type="dxa" w:w="1234"/>
          </w:tcPr>
          <w:p>
            <w:r>
              <w:t>05.06.2025 05:21:57 (MCK +0)</w:t>
            </w:r>
          </w:p>
        </w:tc>
        <w:tc>
          <w:tcPr>
            <w:tcW w:type="dxa" w:w="1234"/>
          </w:tcPr>
          <w:p>
            <w:r>
              <w:t>05.06.2025 10:20:03 (MCK +0)</w:t>
            </w:r>
          </w:p>
        </w:tc>
        <w:tc>
          <w:tcPr>
            <w:tcW w:type="dxa" w:w="1234"/>
          </w:tcPr>
          <w:p>
            <w:r>
              <w:t>890 796,50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25,50%</w:t>
            </w:r>
          </w:p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№1988167</w:t>
            </w:r>
          </w:p>
        </w:tc>
        <w:tc>
          <w:tcPr>
            <w:tcW w:type="dxa" w:w="1234"/>
          </w:tcPr>
          <w:p>
            <w:r>
              <w:t>30.05.2025 14:28:34 (MCK +0)</w:t>
            </w:r>
          </w:p>
        </w:tc>
        <w:tc>
          <w:tcPr>
            <w:tcW w:type="dxa" w:w="1234"/>
          </w:tcPr>
          <w:p>
            <w:r>
              <w:t>30.05.2025 14:28:34 (MCK +0)</w:t>
            </w:r>
          </w:p>
        </w:tc>
        <w:tc>
          <w:tcPr>
            <w:tcW w:type="dxa" w:w="1234"/>
          </w:tcPr>
          <w:p>
            <w:r>
              <w:t>1 195 700,00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-</w:t>
            </w:r>
          </w:p>
        </w:tc>
      </w:tr>
      <w:tr>
        <w:tc>
          <w:tcPr>
            <w:tcW w:type="dxa" w:w="1234"/>
          </w:tcPr>
          <w:p>
            <w:r>
              <w:t>6</w:t>
            </w:r>
          </w:p>
        </w:tc>
        <w:tc>
          <w:tcPr>
            <w:tcW w:type="dxa" w:w="1234"/>
          </w:tcPr>
          <w:p>
            <w:r>
              <w:t>№2001180</w:t>
            </w:r>
          </w:p>
        </w:tc>
        <w:tc>
          <w:tcPr>
            <w:tcW w:type="dxa" w:w="1234"/>
          </w:tcPr>
          <w:p>
            <w:r>
              <w:t>04.06.2025 10:22:26 (MCK +0)</w:t>
            </w:r>
          </w:p>
        </w:tc>
        <w:tc>
          <w:tcPr>
            <w:tcW w:type="dxa" w:w="1234"/>
          </w:tcPr>
          <w:p>
            <w:r>
              <w:t>04.06.2025 10:22:26 (MCK +0)</w:t>
            </w:r>
          </w:p>
        </w:tc>
        <w:tc>
          <w:tcPr>
            <w:tcW w:type="dxa" w:w="1234"/>
          </w:tcPr>
          <w:p>
            <w:r>
              <w:t>1 195 700,00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-</w:t>
            </w:r>
          </w:p>
        </w:tc>
      </w:tr>
    </w:tbl>
    <w:p>
      <w:r>
        <w:t>Согласно извещению о проведении Аукциона объектом закупки является поставка продуктов питания в 2025 году для нужд ФГБУЗ МСЧ № 154 ФМБА России (Лот №3).</w:t>
      </w:r>
    </w:p>
    <w:p>
      <w:r>
        <w:t>Заказчиком в структурированной форме извещения о проведении Аукциона в отношении товара «Апельсины» с кодом позиции КТРУ 01.23.13.000-00000003 установлено в отношении товаров российского происхождения, в соответствии с положениями Постановления № 1875.</w:t>
      </w:r>
    </w:p>
    <w:p>
      <w:r>
        <w:t>По мнению Заявителя, в составе заявки Победителя с идентификационным номером заявки №2005966, а также в составе заявки участника закупки с идентификационным номером № 2008000 содержится недостоверная информация о стране происхождения товара «Апельсины», в соответствии с требованиями положений Постановления № 1875, в связи с чем участнику закупки необоснованно представлено преимущество, предусмотренное положениями Постановления № 1875.</w:t>
      </w:r>
    </w:p>
    <w:p>
      <w:r>
        <w:t>На заседании Комиссии установлено, что в составе заявки Победителя с идентификационным номером заявки №2005966, а также в составе заявки участника закупки с идентификационным номером № 2008000 в отношении товара «Апельсины» продекларирована страна происхождения «Российская Федерация».</w:t>
      </w:r>
    </w:p>
    <w:p>
      <w:r>
        <w:t>Согласно письму Министерства сельского хозяйства Российской Федерации от 14.12.2022 № 19-Г-8429/ог-7380, следует, что в соответствии с данными Федеральной службы государственной статистики в 2021 году в Российской Федерации общая площадь насаждений цитрусовых культур в организованном секторе отрасли составила 3 га, а валовой сбор цитрусовых культур - 14,5 тонны.</w:t>
      </w:r>
    </w:p>
    <w:p>
      <w:r>
        <w:t>По имеющейся в Министерстве сельского хозяйства Российской Федерации информации, выращивание лимонов, апельсинов, мандаринов и бананов в промышленных масштабах на территории Российской Федерации не осуществляется.</w:t>
      </w:r>
    </w:p>
    <w:p>
      <w:r>
        <w:t>Кроме того, согласно информации, размещенной на официальном сайте Россельхознадзора указано, что на территории Российской Федерации апельсины не выращиваются. Эта растительная продукция не может выращиваться в условиях Российской Федерации и завозится из различных регионов мира с тропическим климатом.</w:t>
      </w:r>
    </w:p>
    <w:p>
      <w:pPr>
        <w:pStyle w:val="Heading2"/>
      </w:pPr>
      <w:r>
        <w:t>мотивировочная часть</w:t>
      </w:r>
    </w:p>
    <w:p>
      <w:r>
        <w:t>Изучив документы и сведения, представленные на заседании Комиссии, Комиссия приходит к выводу, что действия Аукционной комиссии в части признания заявки Победителя и заявки участника закупки с идентификационным номером № 2008000 соответствующими требованиям извещения о проведении Аукциона, противоречат положениям Закона о контрактной системе, в связи с тем, что в составе заявок содержится недостоверная информация.</w:t>
      </w:r>
    </w:p>
    <w:p>
      <w:r>
        <w:t>На основании изложенного, Комиссия приходит к выводу, что действия Аукционной комиссии в части осуществляется снижение на пятнадцать процентов ценового предложения участников закупки противоречат положениям Закона о контрактной системе.</w:t>
      </w:r>
    </w:p>
    <w:p>
      <w:r>
        <w:t>Вместе с тем, представителем Заказчика на заседании Комиссии не представлено документов и сведений, однозначно свидетельствующих о правомерности действий Аукционной комиссии.</w:t>
      </w:r>
    </w:p>
    <w:p>
      <w:r>
        <w:t>Таким образом, действия Аукционной комиссии нарушают пункт 1 части 5 статьи 49 Закона о контрактной системе и содержат признаки состава административного правонарушения, предусмотренного частью 7 статьи 7.30.1 Кодекса Российской Федерации об административных правонарушениях.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«ФОРТУНА ТРЕЙД» обоснованной.</w:t>
      </w:r>
    </w:p>
    <w:p>
      <w:r>
        <w:t>Признать в действиях Аукционной комиссии нарушение пункта 1 части 5 статьи 49 Закона о контрактной системе.</w:t>
      </w:r>
    </w:p>
    <w:p>
      <w:r>
        <w:t>Заказчику, Аукционной комиссии, Оператору электронной площадки выдать обязательное для исполнения предписание об устранении допущенных нарушений.</w:t>
      </w:r>
    </w:p>
    <w:p>
      <w:r>
        <w:t>Передать материалы дела от 19.06.2025 №050/06/105-21286/2025 по выявленным нарушениям Закона о контрактной системе соответствующему должностному лицу Управления для рассмотрения вопроса о возбуждении дел об административных правонарушениях.</w:t>
      </w:r>
    </w:p>
    <w:p>
      <w:r>
        <w:t>Настоящее решение может быть обжаловано в суде, арбитражном суде в течение трех месяцев в установленном законом порядке.</w:t>
      </w:r>
    </w:p>
    <w:p>
      <w:r>
        <w:t>10</w:t>
      </w:r>
    </w:p>
    <w:p>
      <w:r>
        <w:t>9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Федеральное государственное бюджетное учреждение здравоохранения «Медико-санитарная часть № 154 федерального медико-биологического агентства»</w:t>
      </w:r>
    </w:p>
    <w:p>
      <w:r>
        <w:t>MSCh154zakupki@mail.ru</w:t>
      </w:r>
    </w:p>
    <w:p>
      <w:r>
        <w:t>Оператор электронной площадки:</w:t>
      </w:r>
    </w:p>
    <w:p>
      <w:r>
        <w:t>АО «ЕЭТП»</w:t>
      </w:r>
    </w:p>
    <w:p>
      <w:r>
        <w:t>60-я Октября пр., д.9,</w:t>
      </w:r>
    </w:p>
    <w:p>
      <w:r>
        <w:t>Москва, 117312</w:t>
      </w:r>
    </w:p>
    <w:p>
      <w:r>
        <w:t>info@roseltorg.ru</w:t>
      </w:r>
    </w:p>
    <w:p>
      <w:r>
        <w:t>Заявитель:</w:t>
      </w:r>
    </w:p>
    <w:p>
      <w:r>
        <w:t>ООО «ФОРТУНА ТРЕЙД»</w:t>
      </w:r>
    </w:p>
    <w:p>
      <w:r>
        <w:t>3316706@mail.ru</w:t>
      </w:r>
    </w:p>
    <w:p>
      <w:r>
        <w:t>ПРЕДПИСАНИЕ</w:t>
      </w:r>
    </w:p>
    <w:p>
      <w:r>
        <w:t>по делу № 050/06/105-21286/2025</w:t>
      </w:r>
    </w:p>
    <w:p>
      <w:r>
        <w:t>об устранении нарушений законодательства Российской Федерации</w:t>
      </w:r>
    </w:p>
    <w:p>
      <w:r>
        <w:t>о контрактной системе в сфере закупок</w:t>
      </w:r>
    </w:p>
    <w:p>
      <w:r>
        <w:t>19.06.2025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Комиссия),</w:t>
      </w:r>
    </w:p>
    <w:p>
      <w:r>
        <w:t>на основании решения от 19.06.2025 № 050/06/105-21286/2025, принятого Комиссией по итогам рассмотрения жалобы ООО «ФОРТУНА ТРЕЙД» (далее – Заявитель) на действия (бездействие) Федерального государственного бюджетного учреждения здравоохранения «Медико-санитарная часть № 154 федерального медико-биологического агентства» (далее – Заказчик) при определении поставщика (подрядчика, исполнителя) путем проведения ЭТП ТЭК-Торг (далее – Оператор электронной площадки) электронного аукциона на поставку продуктов питания в 2025 году для нужд ФГБУЗ МСЧ № 154 ФМБА России (Лот №3) (извещение № 0348100045925000061 на официальном сайте Единой информационной системы в сфере закупок –www.zakupki.gov.ru (далее – Официальный сайт)) (далее – Аукцион),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Оператору электронной площадки в срок 2 рабочих дня с момента получения настоящего Предписания (в том числе посредством электронной почты) обеспечить возможность исполнения Заказчиком, Аукционной комиссией настоящего предписания.</w:t>
      </w:r>
    </w:p>
    <w:p>
      <w:r>
        <w:t>Заказчику, Аукционной комиссии в срок 1 рабочий день с момента исполнения пункта 1 настоящего предписания отменить протокол подведения итогов Аукциона, составленный при определении поставщика (подрядчика, исполнителя) путем проведения Аукциона.</w:t>
      </w:r>
    </w:p>
    <w:p>
      <w:r>
        <w:t>Заказчику в срок 1 рабочий день с момента исполнения пункта 1 настоящего предписания назначить новую дату подведения итогов определения поставщика в соответствии с требованиями Закона о контрактной системе.</w:t>
      </w:r>
    </w:p>
    <w:p>
      <w:r>
        <w:t>Аукционной комиссии в установленный Заказчиком срок провести процедуру подведения итогов определения поставщика в Аукционе в соответствии с требованиями Закона о контрактной системе и на основании решения от 19.06.2025 № 050/06/105-21286/2025.</w:t>
      </w:r>
    </w:p>
    <w:p>
      <w:r>
        <w:t>Заказчику, Аукционной комиссии, Оператору электронной площадки:</w:t>
      </w:r>
    </w:p>
    <w:p>
      <w:r>
        <w:t>продолжить процедуру Аукциона в соответствии с требованиями Закона о контрактной системе.</w:t>
      </w:r>
    </w:p>
    <w:p>
      <w:r>
        <w:t>разместить на Официальном сайте, а также на электронной торговой площадке информацию, подтверждающую исполнение настоящего предписания.</w:t>
      </w:r>
    </w:p>
    <w:p>
      <w:r>
        <w:t>Заказчику, Аукционной комиссии, Оператору электронной площадки в срок до 08.07.2025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